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73" w:type="dxa"/>
        <w:tblInd w:w="-275" w:type="dxa"/>
        <w:tblLayout w:type="fixed"/>
        <w:tblLook w:val="04A0" w:firstRow="1" w:lastRow="0" w:firstColumn="1" w:lastColumn="0" w:noHBand="0" w:noVBand="1"/>
      </w:tblPr>
      <w:tblGrid>
        <w:gridCol w:w="1013"/>
        <w:gridCol w:w="630"/>
        <w:gridCol w:w="3667"/>
        <w:gridCol w:w="1193"/>
        <w:gridCol w:w="1170"/>
        <w:gridCol w:w="900"/>
        <w:gridCol w:w="1800"/>
      </w:tblGrid>
      <w:tr w:rsidR="00311F1B" w:rsidTr="00CB5638">
        <w:trPr>
          <w:trHeight w:val="1160"/>
        </w:trPr>
        <w:tc>
          <w:tcPr>
            <w:tcW w:w="10373" w:type="dxa"/>
            <w:gridSpan w:val="7"/>
            <w:shd w:val="clear" w:color="auto" w:fill="FFFFFF" w:themeFill="background1"/>
          </w:tcPr>
          <w:p w:rsidR="00CB5638" w:rsidRDefault="002506FE" w:rsidP="00CB5638">
            <w:pPr>
              <w:ind w:right="431"/>
              <w:jc w:val="center"/>
              <w:rPr>
                <w:b/>
                <w:sz w:val="28"/>
                <w:szCs w:val="28"/>
              </w:rPr>
            </w:pPr>
            <w:r>
              <w:rPr>
                <w:noProof/>
              </w:rPr>
              <w:drawing>
                <wp:anchor distT="0" distB="0" distL="114300" distR="114300" simplePos="0" relativeHeight="251661312" behindDoc="0" locked="0" layoutInCell="1" allowOverlap="1" wp14:anchorId="477D56C8" wp14:editId="2E770183">
                  <wp:simplePos x="0" y="0"/>
                  <wp:positionH relativeFrom="column">
                    <wp:posOffset>5801360</wp:posOffset>
                  </wp:positionH>
                  <wp:positionV relativeFrom="paragraph">
                    <wp:posOffset>84911</wp:posOffset>
                  </wp:positionV>
                  <wp:extent cx="610771" cy="582295"/>
                  <wp:effectExtent l="0" t="0" r="0" b="825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771" cy="582295"/>
                          </a:xfrm>
                          <a:prstGeom prst="rect">
                            <a:avLst/>
                          </a:prstGeom>
                          <a:noFill/>
                        </pic:spPr>
                      </pic:pic>
                    </a:graphicData>
                  </a:graphic>
                  <wp14:sizeRelH relativeFrom="page">
                    <wp14:pctWidth>0</wp14:pctWidth>
                  </wp14:sizeRelH>
                  <wp14:sizeRelV relativeFrom="page">
                    <wp14:pctHeight>0</wp14:pctHeight>
                  </wp14:sizeRelV>
                </wp:anchor>
              </w:drawing>
            </w:r>
            <w:r w:rsidRPr="00982EAC">
              <w:rPr>
                <w:b/>
                <w:noProof/>
                <w:sz w:val="28"/>
                <w:szCs w:val="28"/>
              </w:rPr>
              <w:drawing>
                <wp:anchor distT="0" distB="0" distL="114300" distR="114300" simplePos="0" relativeHeight="251659264" behindDoc="0" locked="0" layoutInCell="1" allowOverlap="1" wp14:anchorId="7C4A3808" wp14:editId="4654869D">
                  <wp:simplePos x="0" y="0"/>
                  <wp:positionH relativeFrom="column">
                    <wp:posOffset>-6600</wp:posOffset>
                  </wp:positionH>
                  <wp:positionV relativeFrom="paragraph">
                    <wp:posOffset>46435</wp:posOffset>
                  </wp:positionV>
                  <wp:extent cx="766293" cy="634167"/>
                  <wp:effectExtent l="0" t="0" r="0" b="0"/>
                  <wp:wrapNone/>
                  <wp:docPr id="1" name="Picture 1" descr="C:\Users\Linda\Desktop\4C Vertical Shee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Desktop\4C Vertical Sheet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26" cy="643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0E2A" w:rsidRPr="002506FE" w:rsidRDefault="00EB0E2A" w:rsidP="00CB5638">
            <w:pPr>
              <w:ind w:right="431"/>
              <w:jc w:val="center"/>
              <w:rPr>
                <w:b/>
                <w:sz w:val="36"/>
                <w:szCs w:val="36"/>
              </w:rPr>
            </w:pPr>
            <w:r>
              <w:rPr>
                <w:noProof/>
              </w:rPr>
              <w:drawing>
                <wp:anchor distT="0" distB="0" distL="114300" distR="114300" simplePos="0" relativeHeight="251656192" behindDoc="1" locked="0" layoutInCell="1" allowOverlap="1" wp14:anchorId="7498D96F" wp14:editId="26DA7129">
                  <wp:simplePos x="0" y="0"/>
                  <wp:positionH relativeFrom="column">
                    <wp:posOffset>31115</wp:posOffset>
                  </wp:positionH>
                  <wp:positionV relativeFrom="paragraph">
                    <wp:posOffset>69850</wp:posOffset>
                  </wp:positionV>
                  <wp:extent cx="885825" cy="866775"/>
                  <wp:effectExtent l="0" t="0" r="952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pic:spPr>
                      </pic:pic>
                    </a:graphicData>
                  </a:graphic>
                  <wp14:sizeRelH relativeFrom="page">
                    <wp14:pctWidth>0</wp14:pctWidth>
                  </wp14:sizeRelH>
                  <wp14:sizeRelV relativeFrom="page">
                    <wp14:pctHeight>0</wp14:pctHeight>
                  </wp14:sizeRelV>
                </wp:anchor>
              </w:drawing>
            </w:r>
            <w:r w:rsidR="002506FE">
              <w:rPr>
                <w:b/>
                <w:sz w:val="28"/>
                <w:szCs w:val="28"/>
              </w:rPr>
              <w:t xml:space="preserve">         </w:t>
            </w:r>
            <w:r w:rsidR="005E689E" w:rsidRPr="002506FE">
              <w:rPr>
                <w:b/>
                <w:color w:val="0000FF"/>
                <w:sz w:val="36"/>
                <w:szCs w:val="36"/>
              </w:rPr>
              <w:t>EMPLOYMENT/</w:t>
            </w:r>
            <w:r w:rsidR="00311F1B" w:rsidRPr="002506FE">
              <w:rPr>
                <w:b/>
                <w:color w:val="0000FF"/>
                <w:sz w:val="36"/>
                <w:szCs w:val="36"/>
              </w:rPr>
              <w:t xml:space="preserve">WORK TRAINING </w:t>
            </w:r>
            <w:r w:rsidR="004761D4" w:rsidRPr="002506FE">
              <w:rPr>
                <w:b/>
                <w:color w:val="0000FF"/>
                <w:sz w:val="36"/>
                <w:szCs w:val="36"/>
              </w:rPr>
              <w:t xml:space="preserve">READINESS </w:t>
            </w:r>
            <w:r w:rsidR="00311F1B" w:rsidRPr="002506FE">
              <w:rPr>
                <w:b/>
                <w:color w:val="0000FF"/>
                <w:sz w:val="36"/>
                <w:szCs w:val="36"/>
              </w:rPr>
              <w:t>SCALE</w:t>
            </w:r>
          </w:p>
        </w:tc>
      </w:tr>
      <w:tr w:rsidR="004761D4" w:rsidTr="002F0109">
        <w:tc>
          <w:tcPr>
            <w:tcW w:w="1013" w:type="dxa"/>
            <w:shd w:val="clear" w:color="auto" w:fill="C5E0B3" w:themeFill="accent6" w:themeFillTint="66"/>
          </w:tcPr>
          <w:p w:rsidR="000E5532" w:rsidRDefault="000E5532" w:rsidP="00311F1B">
            <w:pPr>
              <w:rPr>
                <w:b/>
              </w:rPr>
            </w:pPr>
          </w:p>
          <w:p w:rsidR="00311F1B" w:rsidRDefault="000E7517" w:rsidP="000E7517">
            <w:pPr>
              <w:jc w:val="center"/>
              <w:rPr>
                <w:b/>
              </w:rPr>
            </w:pPr>
            <w:r>
              <w:rPr>
                <w:b/>
              </w:rPr>
              <w:t>Regional</w:t>
            </w:r>
          </w:p>
          <w:p w:rsidR="000E7517" w:rsidRPr="00642D21" w:rsidRDefault="000E7517" w:rsidP="000E7517">
            <w:pPr>
              <w:jc w:val="center"/>
              <w:rPr>
                <w:b/>
              </w:rPr>
            </w:pPr>
            <w:r>
              <w:rPr>
                <w:b/>
              </w:rPr>
              <w:t>Center</w:t>
            </w:r>
          </w:p>
        </w:tc>
        <w:tc>
          <w:tcPr>
            <w:tcW w:w="630" w:type="dxa"/>
            <w:shd w:val="clear" w:color="auto" w:fill="C5E0B3" w:themeFill="accent6" w:themeFillTint="66"/>
          </w:tcPr>
          <w:p w:rsidR="000E5532" w:rsidRDefault="000E5532" w:rsidP="00311F1B">
            <w:pPr>
              <w:rPr>
                <w:b/>
              </w:rPr>
            </w:pPr>
          </w:p>
          <w:p w:rsidR="00311F1B" w:rsidRPr="00642D21" w:rsidRDefault="00311F1B" w:rsidP="00311F1B">
            <w:pPr>
              <w:rPr>
                <w:b/>
              </w:rPr>
            </w:pPr>
            <w:r w:rsidRPr="00642D21">
              <w:rPr>
                <w:b/>
              </w:rPr>
              <w:t>DOR</w:t>
            </w:r>
          </w:p>
        </w:tc>
        <w:tc>
          <w:tcPr>
            <w:tcW w:w="3667" w:type="dxa"/>
            <w:shd w:val="clear" w:color="auto" w:fill="C5E0B3" w:themeFill="accent6" w:themeFillTint="66"/>
          </w:tcPr>
          <w:p w:rsidR="000E5532" w:rsidRDefault="000E5532" w:rsidP="00311F1B">
            <w:pPr>
              <w:rPr>
                <w:b/>
              </w:rPr>
            </w:pPr>
          </w:p>
          <w:p w:rsidR="004761D4" w:rsidRPr="00642D21" w:rsidRDefault="000E5532" w:rsidP="00311F1B">
            <w:pPr>
              <w:rPr>
                <w:b/>
              </w:rPr>
            </w:pPr>
            <w:r>
              <w:rPr>
                <w:b/>
              </w:rPr>
              <w:t xml:space="preserve">          </w:t>
            </w:r>
            <w:r w:rsidR="00311F1B" w:rsidRPr="00642D21">
              <w:rPr>
                <w:b/>
              </w:rPr>
              <w:t xml:space="preserve">Employment/Work Training </w:t>
            </w:r>
            <w:r w:rsidR="004761D4" w:rsidRPr="00642D21">
              <w:rPr>
                <w:b/>
              </w:rPr>
              <w:t xml:space="preserve">      </w:t>
            </w:r>
          </w:p>
          <w:p w:rsidR="00311F1B" w:rsidRPr="00642D21" w:rsidRDefault="004761D4" w:rsidP="00311F1B">
            <w:pPr>
              <w:rPr>
                <w:b/>
              </w:rPr>
            </w:pPr>
            <w:r w:rsidRPr="00642D21">
              <w:rPr>
                <w:b/>
              </w:rPr>
              <w:t xml:space="preserve">                </w:t>
            </w:r>
            <w:r w:rsidR="000E5532">
              <w:rPr>
                <w:b/>
              </w:rPr>
              <w:t xml:space="preserve">          </w:t>
            </w:r>
            <w:r w:rsidRPr="00642D21">
              <w:rPr>
                <w:b/>
              </w:rPr>
              <w:t xml:space="preserve"> </w:t>
            </w:r>
            <w:r w:rsidR="00311F1B" w:rsidRPr="00642D21">
              <w:rPr>
                <w:b/>
              </w:rPr>
              <w:t>Option</w:t>
            </w:r>
            <w:r w:rsidRPr="00642D21">
              <w:rPr>
                <w:b/>
              </w:rPr>
              <w:t>s</w:t>
            </w:r>
          </w:p>
        </w:tc>
        <w:tc>
          <w:tcPr>
            <w:tcW w:w="1193" w:type="dxa"/>
            <w:shd w:val="clear" w:color="auto" w:fill="C5E0B3" w:themeFill="accent6" w:themeFillTint="66"/>
          </w:tcPr>
          <w:p w:rsidR="000E7517" w:rsidRDefault="000E7517" w:rsidP="004761D4">
            <w:pPr>
              <w:jc w:val="center"/>
              <w:rPr>
                <w:b/>
              </w:rPr>
            </w:pPr>
            <w:r>
              <w:rPr>
                <w:b/>
              </w:rPr>
              <w:t>At Least</w:t>
            </w:r>
          </w:p>
          <w:p w:rsidR="004761D4" w:rsidRDefault="000E7517" w:rsidP="004761D4">
            <w:pPr>
              <w:jc w:val="center"/>
              <w:rPr>
                <w:b/>
              </w:rPr>
            </w:pPr>
            <w:r>
              <w:rPr>
                <w:b/>
              </w:rPr>
              <w:t>Minimum</w:t>
            </w:r>
          </w:p>
          <w:p w:rsidR="000E7517" w:rsidRPr="00642D21" w:rsidRDefault="000E7517" w:rsidP="000E7517">
            <w:pPr>
              <w:jc w:val="center"/>
              <w:rPr>
                <w:b/>
              </w:rPr>
            </w:pPr>
            <w:r w:rsidRPr="00642D21">
              <w:rPr>
                <w:b/>
              </w:rPr>
              <w:t>Wages</w:t>
            </w:r>
          </w:p>
        </w:tc>
        <w:tc>
          <w:tcPr>
            <w:tcW w:w="1170" w:type="dxa"/>
            <w:shd w:val="clear" w:color="auto" w:fill="C5E0B3" w:themeFill="accent6" w:themeFillTint="66"/>
          </w:tcPr>
          <w:p w:rsidR="00311F1B" w:rsidRPr="00642D21" w:rsidRDefault="00311F1B" w:rsidP="004761D4">
            <w:pPr>
              <w:jc w:val="center"/>
              <w:rPr>
                <w:b/>
              </w:rPr>
            </w:pPr>
            <w:r w:rsidRPr="00642D21">
              <w:rPr>
                <w:b/>
              </w:rPr>
              <w:t>Points</w:t>
            </w:r>
          </w:p>
          <w:p w:rsidR="00311F1B" w:rsidRPr="00642D21" w:rsidRDefault="00311F1B" w:rsidP="004761D4">
            <w:pPr>
              <w:jc w:val="center"/>
              <w:rPr>
                <w:b/>
              </w:rPr>
            </w:pPr>
            <w:r w:rsidRPr="00642D21">
              <w:rPr>
                <w:b/>
              </w:rPr>
              <w:t>%</w:t>
            </w:r>
          </w:p>
        </w:tc>
        <w:tc>
          <w:tcPr>
            <w:tcW w:w="900" w:type="dxa"/>
            <w:shd w:val="clear" w:color="auto" w:fill="C5E0B3" w:themeFill="accent6" w:themeFillTint="66"/>
          </w:tcPr>
          <w:p w:rsidR="00311F1B" w:rsidRPr="00642D21" w:rsidRDefault="00311F1B" w:rsidP="00311F1B">
            <w:pPr>
              <w:rPr>
                <w:b/>
              </w:rPr>
            </w:pPr>
            <w:r w:rsidRPr="00642D21">
              <w:rPr>
                <w:b/>
              </w:rPr>
              <w:t>Hours/</w:t>
            </w:r>
          </w:p>
          <w:p w:rsidR="00311F1B" w:rsidRPr="00642D21" w:rsidRDefault="00311F1B" w:rsidP="00311F1B">
            <w:pPr>
              <w:rPr>
                <w:b/>
              </w:rPr>
            </w:pPr>
            <w:r w:rsidRPr="00642D21">
              <w:rPr>
                <w:b/>
              </w:rPr>
              <w:t>Week</w:t>
            </w:r>
          </w:p>
        </w:tc>
        <w:tc>
          <w:tcPr>
            <w:tcW w:w="1800" w:type="dxa"/>
            <w:shd w:val="clear" w:color="auto" w:fill="C5E0B3" w:themeFill="accent6" w:themeFillTint="66"/>
          </w:tcPr>
          <w:p w:rsidR="003416CA" w:rsidRDefault="003416CA" w:rsidP="00311F1B">
            <w:pPr>
              <w:rPr>
                <w:b/>
              </w:rPr>
            </w:pPr>
          </w:p>
          <w:p w:rsidR="00311F1B" w:rsidRPr="00642D21" w:rsidRDefault="00311F1B" w:rsidP="00311F1B">
            <w:pPr>
              <w:rPr>
                <w:b/>
              </w:rPr>
            </w:pPr>
            <w:r w:rsidRPr="00642D21">
              <w:rPr>
                <w:b/>
              </w:rPr>
              <w:t>Supports Needed</w:t>
            </w:r>
          </w:p>
        </w:tc>
      </w:tr>
      <w:tr w:rsidR="00311F1B" w:rsidTr="006F2D04">
        <w:trPr>
          <w:trHeight w:val="620"/>
        </w:trPr>
        <w:tc>
          <w:tcPr>
            <w:tcW w:w="1013" w:type="dxa"/>
          </w:tcPr>
          <w:p w:rsidR="00311F1B" w:rsidRPr="006F2D04" w:rsidRDefault="00311F1B" w:rsidP="00C44176">
            <w:pPr>
              <w:jc w:val="center"/>
              <w:rPr>
                <w:rFonts w:cstheme="minorHAnsi"/>
                <w:sz w:val="18"/>
                <w:szCs w:val="18"/>
              </w:rPr>
            </w:pPr>
          </w:p>
          <w:p w:rsidR="00FE3EA0" w:rsidRPr="006F2D04" w:rsidRDefault="00FE3EA0" w:rsidP="00C44176">
            <w:pPr>
              <w:jc w:val="center"/>
              <w:rPr>
                <w:rFonts w:cstheme="minorHAnsi"/>
                <w:sz w:val="18"/>
                <w:szCs w:val="18"/>
              </w:rPr>
            </w:pPr>
          </w:p>
        </w:tc>
        <w:tc>
          <w:tcPr>
            <w:tcW w:w="630" w:type="dxa"/>
          </w:tcPr>
          <w:p w:rsidR="00311F1B" w:rsidRPr="006F2D04" w:rsidRDefault="00311F1B" w:rsidP="00C44176">
            <w:pPr>
              <w:jc w:val="center"/>
              <w:rPr>
                <w:rFonts w:cstheme="minorHAnsi"/>
                <w:sz w:val="18"/>
                <w:szCs w:val="18"/>
              </w:rPr>
            </w:pPr>
          </w:p>
          <w:p w:rsidR="00A07853" w:rsidRPr="006F2D04" w:rsidRDefault="00A07853" w:rsidP="00C44176">
            <w:pPr>
              <w:jc w:val="center"/>
              <w:rPr>
                <w:rFonts w:cstheme="minorHAnsi"/>
                <w:sz w:val="18"/>
                <w:szCs w:val="18"/>
              </w:rPr>
            </w:pPr>
            <w:r w:rsidRPr="006F2D04">
              <w:rPr>
                <w:rFonts w:cstheme="minorHAnsi"/>
                <w:sz w:val="18"/>
                <w:szCs w:val="18"/>
              </w:rPr>
              <w:t>X</w:t>
            </w:r>
          </w:p>
        </w:tc>
        <w:tc>
          <w:tcPr>
            <w:tcW w:w="3667" w:type="dxa"/>
          </w:tcPr>
          <w:p w:rsidR="00A07853" w:rsidRPr="006F2D04" w:rsidRDefault="00A07853" w:rsidP="00C44176">
            <w:pPr>
              <w:rPr>
                <w:rFonts w:cstheme="minorHAnsi"/>
                <w:sz w:val="18"/>
                <w:szCs w:val="18"/>
              </w:rPr>
            </w:pPr>
          </w:p>
          <w:p w:rsidR="00311F1B" w:rsidRPr="006F2D04" w:rsidRDefault="00A07853" w:rsidP="00C44176">
            <w:pPr>
              <w:jc w:val="center"/>
              <w:rPr>
                <w:rFonts w:cstheme="minorHAnsi"/>
                <w:sz w:val="18"/>
                <w:szCs w:val="18"/>
              </w:rPr>
            </w:pPr>
            <w:r w:rsidRPr="006F2D04">
              <w:rPr>
                <w:rFonts w:cstheme="minorHAnsi"/>
                <w:sz w:val="18"/>
                <w:szCs w:val="18"/>
              </w:rPr>
              <w:t>Competitive Integrated Employment</w:t>
            </w:r>
          </w:p>
          <w:p w:rsidR="007D6669" w:rsidRPr="006F2D04" w:rsidRDefault="007D6669" w:rsidP="00C44176">
            <w:pPr>
              <w:jc w:val="center"/>
              <w:rPr>
                <w:rFonts w:cstheme="minorHAnsi"/>
                <w:sz w:val="18"/>
                <w:szCs w:val="18"/>
              </w:rPr>
            </w:pPr>
            <w:r w:rsidRPr="006F2D04">
              <w:rPr>
                <w:rFonts w:cstheme="minorHAnsi"/>
                <w:sz w:val="18"/>
                <w:szCs w:val="18"/>
              </w:rPr>
              <w:t>(Job Development provided by DOR/TPP)</w:t>
            </w:r>
          </w:p>
        </w:tc>
        <w:tc>
          <w:tcPr>
            <w:tcW w:w="1193" w:type="dxa"/>
          </w:tcPr>
          <w:p w:rsidR="00311F1B" w:rsidRPr="006F2D04" w:rsidRDefault="00311F1B" w:rsidP="00C44176">
            <w:pPr>
              <w:jc w:val="center"/>
              <w:rPr>
                <w:rFonts w:cstheme="minorHAnsi"/>
                <w:sz w:val="18"/>
                <w:szCs w:val="18"/>
              </w:rPr>
            </w:pPr>
          </w:p>
          <w:p w:rsidR="00A07853" w:rsidRPr="006F2D04" w:rsidRDefault="00A07853" w:rsidP="00C44176">
            <w:pPr>
              <w:jc w:val="center"/>
              <w:rPr>
                <w:rFonts w:cstheme="minorHAnsi"/>
                <w:sz w:val="18"/>
                <w:szCs w:val="18"/>
              </w:rPr>
            </w:pPr>
            <w:r w:rsidRPr="006F2D04">
              <w:rPr>
                <w:rFonts w:cstheme="minorHAnsi"/>
                <w:sz w:val="18"/>
                <w:szCs w:val="18"/>
              </w:rPr>
              <w:t>Yes</w:t>
            </w:r>
          </w:p>
        </w:tc>
        <w:tc>
          <w:tcPr>
            <w:tcW w:w="1170" w:type="dxa"/>
          </w:tcPr>
          <w:p w:rsidR="00A07853" w:rsidRPr="006F2D04" w:rsidRDefault="00A07853" w:rsidP="00C44176">
            <w:pPr>
              <w:jc w:val="center"/>
              <w:rPr>
                <w:rFonts w:cstheme="minorHAnsi"/>
                <w:sz w:val="18"/>
                <w:szCs w:val="18"/>
              </w:rPr>
            </w:pPr>
          </w:p>
          <w:p w:rsidR="00311F1B" w:rsidRPr="006F2D04" w:rsidRDefault="002F0109" w:rsidP="00C44176">
            <w:pPr>
              <w:jc w:val="center"/>
              <w:rPr>
                <w:rFonts w:cstheme="minorHAnsi"/>
                <w:sz w:val="18"/>
                <w:szCs w:val="18"/>
              </w:rPr>
            </w:pPr>
            <w:r w:rsidRPr="006F2D04">
              <w:rPr>
                <w:rFonts w:cstheme="minorHAnsi"/>
                <w:sz w:val="18"/>
                <w:szCs w:val="18"/>
              </w:rPr>
              <w:t>165</w:t>
            </w:r>
            <w:r w:rsidR="00833E4E" w:rsidRPr="006F2D04">
              <w:rPr>
                <w:rFonts w:cstheme="minorHAnsi"/>
                <w:sz w:val="18"/>
                <w:szCs w:val="18"/>
              </w:rPr>
              <w:t>-195</w:t>
            </w:r>
          </w:p>
          <w:p w:rsidR="00A07853" w:rsidRPr="006F2D04" w:rsidRDefault="002F0109" w:rsidP="00C44176">
            <w:pPr>
              <w:jc w:val="center"/>
              <w:rPr>
                <w:rFonts w:cstheme="minorHAnsi"/>
                <w:sz w:val="18"/>
                <w:szCs w:val="18"/>
              </w:rPr>
            </w:pPr>
            <w:r w:rsidRPr="006F2D04">
              <w:rPr>
                <w:rFonts w:cstheme="minorHAnsi"/>
                <w:sz w:val="18"/>
                <w:szCs w:val="18"/>
              </w:rPr>
              <w:t>87</w:t>
            </w:r>
            <w:r w:rsidR="00A07853" w:rsidRPr="006F2D04">
              <w:rPr>
                <w:rFonts w:cstheme="minorHAnsi"/>
                <w:sz w:val="18"/>
                <w:szCs w:val="18"/>
              </w:rPr>
              <w:t>%</w:t>
            </w:r>
            <w:r w:rsidR="007D6669" w:rsidRPr="006F2D04">
              <w:rPr>
                <w:rFonts w:cstheme="minorHAnsi"/>
                <w:sz w:val="18"/>
                <w:szCs w:val="18"/>
              </w:rPr>
              <w:t>+</w:t>
            </w:r>
          </w:p>
        </w:tc>
        <w:tc>
          <w:tcPr>
            <w:tcW w:w="900" w:type="dxa"/>
          </w:tcPr>
          <w:p w:rsidR="00A07853" w:rsidRPr="006F2D04" w:rsidRDefault="00A07853" w:rsidP="00C44176">
            <w:pPr>
              <w:rPr>
                <w:rFonts w:cstheme="minorHAnsi"/>
                <w:sz w:val="18"/>
                <w:szCs w:val="18"/>
              </w:rPr>
            </w:pPr>
          </w:p>
          <w:p w:rsidR="00311F1B" w:rsidRPr="006F2D04" w:rsidRDefault="00A07853" w:rsidP="00C44176">
            <w:pPr>
              <w:rPr>
                <w:rFonts w:cstheme="minorHAnsi"/>
                <w:sz w:val="18"/>
                <w:szCs w:val="18"/>
              </w:rPr>
            </w:pPr>
            <w:r w:rsidRPr="006F2D04">
              <w:rPr>
                <w:rFonts w:cstheme="minorHAnsi"/>
                <w:sz w:val="18"/>
                <w:szCs w:val="18"/>
              </w:rPr>
              <w:t xml:space="preserve">  20-40</w:t>
            </w:r>
          </w:p>
        </w:tc>
        <w:tc>
          <w:tcPr>
            <w:tcW w:w="1800" w:type="dxa"/>
          </w:tcPr>
          <w:p w:rsidR="00311F1B" w:rsidRPr="006F2D04" w:rsidRDefault="006F2D04" w:rsidP="006F2D04">
            <w:pPr>
              <w:rPr>
                <w:rFonts w:cstheme="minorHAnsi"/>
                <w:sz w:val="18"/>
                <w:szCs w:val="18"/>
              </w:rPr>
            </w:pPr>
            <w:r>
              <w:rPr>
                <w:rFonts w:cstheme="minorHAnsi"/>
                <w:sz w:val="18"/>
                <w:szCs w:val="18"/>
              </w:rPr>
              <w:t xml:space="preserve">   </w:t>
            </w:r>
            <w:r w:rsidR="00A07853" w:rsidRPr="006F2D04">
              <w:rPr>
                <w:rFonts w:cstheme="minorHAnsi"/>
                <w:sz w:val="18"/>
                <w:szCs w:val="18"/>
              </w:rPr>
              <w:t>Natural Supports</w:t>
            </w:r>
          </w:p>
          <w:p w:rsidR="00642D21" w:rsidRPr="006F2D04" w:rsidRDefault="00642D21" w:rsidP="00C44176">
            <w:pPr>
              <w:jc w:val="center"/>
              <w:rPr>
                <w:rFonts w:cstheme="minorHAnsi"/>
                <w:sz w:val="18"/>
                <w:szCs w:val="18"/>
              </w:rPr>
            </w:pPr>
            <w:r w:rsidRPr="006F2D04">
              <w:rPr>
                <w:rFonts w:cstheme="minorHAnsi"/>
                <w:sz w:val="18"/>
                <w:szCs w:val="18"/>
              </w:rPr>
              <w:t>(May need initial Job Coaching)</w:t>
            </w:r>
          </w:p>
        </w:tc>
      </w:tr>
      <w:tr w:rsidR="007D6669" w:rsidTr="002F0109">
        <w:trPr>
          <w:trHeight w:val="674"/>
        </w:trPr>
        <w:tc>
          <w:tcPr>
            <w:tcW w:w="1013" w:type="dxa"/>
          </w:tcPr>
          <w:p w:rsidR="007D6669" w:rsidRPr="006F2D04" w:rsidRDefault="007D6669" w:rsidP="007D6669">
            <w:pPr>
              <w:jc w:val="center"/>
              <w:rPr>
                <w:rFonts w:cstheme="minorHAnsi"/>
                <w:sz w:val="18"/>
                <w:szCs w:val="18"/>
              </w:rPr>
            </w:pPr>
          </w:p>
          <w:p w:rsidR="007D6669" w:rsidRPr="006F2D04" w:rsidRDefault="007D6669" w:rsidP="007D6669">
            <w:pPr>
              <w:jc w:val="center"/>
              <w:rPr>
                <w:rFonts w:cstheme="minorHAnsi"/>
                <w:sz w:val="18"/>
                <w:szCs w:val="18"/>
              </w:rPr>
            </w:pPr>
            <w:r w:rsidRPr="006F2D04">
              <w:rPr>
                <w:rFonts w:cstheme="minorHAnsi"/>
                <w:sz w:val="18"/>
                <w:szCs w:val="18"/>
              </w:rPr>
              <w:t>X</w:t>
            </w:r>
          </w:p>
        </w:tc>
        <w:tc>
          <w:tcPr>
            <w:tcW w:w="630" w:type="dxa"/>
          </w:tcPr>
          <w:p w:rsidR="007D6669" w:rsidRPr="006F2D04" w:rsidRDefault="007D6669" w:rsidP="007D6669">
            <w:pPr>
              <w:jc w:val="center"/>
              <w:rPr>
                <w:rFonts w:cstheme="minorHAnsi"/>
                <w:sz w:val="18"/>
                <w:szCs w:val="18"/>
              </w:rPr>
            </w:pPr>
          </w:p>
          <w:p w:rsidR="007D6669" w:rsidRPr="006F2D04" w:rsidRDefault="007D6669" w:rsidP="007D6669">
            <w:pPr>
              <w:jc w:val="center"/>
              <w:rPr>
                <w:rFonts w:cstheme="minorHAnsi"/>
                <w:sz w:val="18"/>
                <w:szCs w:val="18"/>
              </w:rPr>
            </w:pPr>
            <w:r w:rsidRPr="006F2D04">
              <w:rPr>
                <w:rFonts w:cstheme="minorHAnsi"/>
                <w:sz w:val="18"/>
                <w:szCs w:val="18"/>
              </w:rPr>
              <w:t>X</w:t>
            </w:r>
          </w:p>
        </w:tc>
        <w:tc>
          <w:tcPr>
            <w:tcW w:w="3667" w:type="dxa"/>
          </w:tcPr>
          <w:p w:rsidR="007D6669" w:rsidRPr="006F2D04" w:rsidRDefault="007D6669" w:rsidP="007D6669">
            <w:pPr>
              <w:jc w:val="center"/>
              <w:rPr>
                <w:rFonts w:cstheme="minorHAnsi"/>
                <w:sz w:val="18"/>
                <w:szCs w:val="18"/>
              </w:rPr>
            </w:pPr>
          </w:p>
          <w:p w:rsidR="007D6669" w:rsidRPr="006F2D04" w:rsidRDefault="007D6669" w:rsidP="007D6669">
            <w:pPr>
              <w:jc w:val="center"/>
              <w:rPr>
                <w:rFonts w:cstheme="minorHAnsi"/>
                <w:sz w:val="18"/>
                <w:szCs w:val="18"/>
              </w:rPr>
            </w:pPr>
            <w:r w:rsidRPr="006F2D04">
              <w:rPr>
                <w:rFonts w:cstheme="minorHAnsi"/>
                <w:sz w:val="18"/>
                <w:szCs w:val="18"/>
              </w:rPr>
              <w:t>Supported Employment (Individual)</w:t>
            </w:r>
          </w:p>
          <w:p w:rsidR="007D6669" w:rsidRPr="006F2D04" w:rsidRDefault="007D6669" w:rsidP="007D6669">
            <w:pPr>
              <w:jc w:val="center"/>
              <w:rPr>
                <w:rFonts w:cstheme="minorHAnsi"/>
                <w:sz w:val="18"/>
                <w:szCs w:val="18"/>
              </w:rPr>
            </w:pPr>
            <w:r w:rsidRPr="006F2D04">
              <w:rPr>
                <w:rFonts w:cstheme="minorHAnsi"/>
                <w:sz w:val="18"/>
                <w:szCs w:val="18"/>
              </w:rPr>
              <w:t>Integrated Setting</w:t>
            </w:r>
          </w:p>
        </w:tc>
        <w:tc>
          <w:tcPr>
            <w:tcW w:w="1193" w:type="dxa"/>
          </w:tcPr>
          <w:p w:rsidR="007D6669" w:rsidRPr="006F2D04" w:rsidRDefault="007D6669" w:rsidP="00A07853">
            <w:pPr>
              <w:jc w:val="center"/>
              <w:rPr>
                <w:rFonts w:cstheme="minorHAnsi"/>
                <w:sz w:val="18"/>
                <w:szCs w:val="18"/>
              </w:rPr>
            </w:pPr>
          </w:p>
          <w:p w:rsidR="007D6669" w:rsidRPr="006F2D04" w:rsidRDefault="007D6669" w:rsidP="00A07853">
            <w:pPr>
              <w:jc w:val="center"/>
              <w:rPr>
                <w:rFonts w:cstheme="minorHAnsi"/>
                <w:sz w:val="18"/>
                <w:szCs w:val="18"/>
              </w:rPr>
            </w:pPr>
            <w:r w:rsidRPr="006F2D04">
              <w:rPr>
                <w:rFonts w:cstheme="minorHAnsi"/>
                <w:sz w:val="18"/>
                <w:szCs w:val="18"/>
              </w:rPr>
              <w:t>Yes</w:t>
            </w:r>
          </w:p>
        </w:tc>
        <w:tc>
          <w:tcPr>
            <w:tcW w:w="1170" w:type="dxa"/>
          </w:tcPr>
          <w:p w:rsidR="007D6669" w:rsidRPr="006F2D04" w:rsidRDefault="007D6669" w:rsidP="007D6669">
            <w:pPr>
              <w:jc w:val="center"/>
              <w:rPr>
                <w:rFonts w:cstheme="minorHAnsi"/>
                <w:sz w:val="18"/>
                <w:szCs w:val="18"/>
              </w:rPr>
            </w:pPr>
          </w:p>
          <w:p w:rsidR="007D6669" w:rsidRPr="006F2D04" w:rsidRDefault="002F0109" w:rsidP="0092124A">
            <w:pPr>
              <w:rPr>
                <w:rFonts w:cstheme="minorHAnsi"/>
                <w:sz w:val="18"/>
                <w:szCs w:val="18"/>
              </w:rPr>
            </w:pPr>
            <w:r w:rsidRPr="006F2D04">
              <w:rPr>
                <w:rFonts w:cstheme="minorHAnsi"/>
                <w:sz w:val="18"/>
                <w:szCs w:val="18"/>
              </w:rPr>
              <w:t xml:space="preserve">    150-165</w:t>
            </w:r>
          </w:p>
          <w:p w:rsidR="007D6669" w:rsidRPr="006F2D04" w:rsidRDefault="002F0109" w:rsidP="007D6669">
            <w:pPr>
              <w:jc w:val="center"/>
              <w:rPr>
                <w:rFonts w:cstheme="minorHAnsi"/>
                <w:sz w:val="18"/>
                <w:szCs w:val="18"/>
              </w:rPr>
            </w:pPr>
            <w:r w:rsidRPr="006F2D04">
              <w:rPr>
                <w:rFonts w:cstheme="minorHAnsi"/>
                <w:sz w:val="18"/>
                <w:szCs w:val="18"/>
              </w:rPr>
              <w:t>77</w:t>
            </w:r>
            <w:r w:rsidR="007D6669" w:rsidRPr="006F2D04">
              <w:rPr>
                <w:rFonts w:cstheme="minorHAnsi"/>
                <w:sz w:val="18"/>
                <w:szCs w:val="18"/>
              </w:rPr>
              <w:t>%+</w:t>
            </w:r>
          </w:p>
        </w:tc>
        <w:tc>
          <w:tcPr>
            <w:tcW w:w="900" w:type="dxa"/>
          </w:tcPr>
          <w:p w:rsidR="006F2D04" w:rsidRDefault="006F2D04" w:rsidP="00311F1B">
            <w:pPr>
              <w:rPr>
                <w:rFonts w:cstheme="minorHAnsi"/>
                <w:sz w:val="18"/>
                <w:szCs w:val="18"/>
              </w:rPr>
            </w:pPr>
          </w:p>
          <w:p w:rsidR="007D6669" w:rsidRPr="006F2D04" w:rsidRDefault="006F2D04" w:rsidP="00311F1B">
            <w:pPr>
              <w:rPr>
                <w:rFonts w:cstheme="minorHAnsi"/>
                <w:sz w:val="18"/>
                <w:szCs w:val="18"/>
              </w:rPr>
            </w:pPr>
            <w:r>
              <w:rPr>
                <w:rFonts w:cstheme="minorHAnsi"/>
                <w:sz w:val="18"/>
                <w:szCs w:val="18"/>
              </w:rPr>
              <w:t xml:space="preserve">  </w:t>
            </w:r>
            <w:r w:rsidR="007D6669" w:rsidRPr="006F2D04">
              <w:rPr>
                <w:rFonts w:cstheme="minorHAnsi"/>
                <w:sz w:val="18"/>
                <w:szCs w:val="18"/>
              </w:rPr>
              <w:t>10-40</w:t>
            </w:r>
          </w:p>
        </w:tc>
        <w:tc>
          <w:tcPr>
            <w:tcW w:w="1800" w:type="dxa"/>
          </w:tcPr>
          <w:p w:rsidR="007D6669" w:rsidRPr="006F2D04" w:rsidRDefault="0092124A" w:rsidP="006F2D04">
            <w:pPr>
              <w:jc w:val="center"/>
              <w:rPr>
                <w:rFonts w:cstheme="minorHAnsi"/>
                <w:sz w:val="18"/>
                <w:szCs w:val="18"/>
              </w:rPr>
            </w:pPr>
            <w:r w:rsidRPr="006F2D04">
              <w:rPr>
                <w:rFonts w:cstheme="minorHAnsi"/>
                <w:sz w:val="18"/>
                <w:szCs w:val="18"/>
              </w:rPr>
              <w:t xml:space="preserve">Goal is </w:t>
            </w:r>
            <w:r w:rsidR="007D6669" w:rsidRPr="006F2D04">
              <w:rPr>
                <w:rFonts w:cstheme="minorHAnsi"/>
                <w:sz w:val="18"/>
                <w:szCs w:val="18"/>
              </w:rPr>
              <w:t>20% or less Job Coaching</w:t>
            </w:r>
          </w:p>
        </w:tc>
      </w:tr>
      <w:tr w:rsidR="00311F1B" w:rsidTr="002F0109">
        <w:trPr>
          <w:trHeight w:val="737"/>
        </w:trPr>
        <w:tc>
          <w:tcPr>
            <w:tcW w:w="1013" w:type="dxa"/>
          </w:tcPr>
          <w:p w:rsidR="00311F1B" w:rsidRPr="006F2D04" w:rsidRDefault="00311F1B" w:rsidP="007D6669">
            <w:pPr>
              <w:jc w:val="center"/>
              <w:rPr>
                <w:rFonts w:cstheme="minorHAnsi"/>
                <w:sz w:val="18"/>
                <w:szCs w:val="18"/>
              </w:rPr>
            </w:pPr>
          </w:p>
          <w:p w:rsidR="00FE3EA0" w:rsidRPr="006F2D04" w:rsidRDefault="00A07853" w:rsidP="007D6669">
            <w:pPr>
              <w:jc w:val="center"/>
              <w:rPr>
                <w:rFonts w:cstheme="minorHAnsi"/>
                <w:sz w:val="18"/>
                <w:szCs w:val="18"/>
              </w:rPr>
            </w:pPr>
            <w:r w:rsidRPr="006F2D04">
              <w:rPr>
                <w:rFonts w:cstheme="minorHAnsi"/>
                <w:sz w:val="18"/>
                <w:szCs w:val="18"/>
              </w:rPr>
              <w:t>X</w:t>
            </w:r>
          </w:p>
        </w:tc>
        <w:tc>
          <w:tcPr>
            <w:tcW w:w="630" w:type="dxa"/>
          </w:tcPr>
          <w:p w:rsidR="00311F1B" w:rsidRPr="006F2D04" w:rsidRDefault="00311F1B" w:rsidP="007D6669">
            <w:pPr>
              <w:jc w:val="center"/>
              <w:rPr>
                <w:rFonts w:cstheme="minorHAnsi"/>
                <w:sz w:val="18"/>
                <w:szCs w:val="18"/>
              </w:rPr>
            </w:pPr>
          </w:p>
          <w:p w:rsidR="00A07853" w:rsidRPr="006F2D04" w:rsidRDefault="00027AEC" w:rsidP="007D6669">
            <w:pPr>
              <w:jc w:val="center"/>
              <w:rPr>
                <w:rFonts w:cstheme="minorHAnsi"/>
                <w:sz w:val="18"/>
                <w:szCs w:val="18"/>
              </w:rPr>
            </w:pPr>
            <w:r w:rsidRPr="006F2D04">
              <w:rPr>
                <w:rFonts w:cstheme="minorHAnsi"/>
                <w:sz w:val="18"/>
                <w:szCs w:val="18"/>
              </w:rPr>
              <w:t>X</w:t>
            </w:r>
          </w:p>
        </w:tc>
        <w:tc>
          <w:tcPr>
            <w:tcW w:w="3667" w:type="dxa"/>
          </w:tcPr>
          <w:p w:rsidR="007D6669" w:rsidRPr="006F2D04" w:rsidRDefault="007D6669" w:rsidP="007D6669">
            <w:pPr>
              <w:jc w:val="center"/>
              <w:rPr>
                <w:rFonts w:cstheme="minorHAnsi"/>
                <w:sz w:val="18"/>
                <w:szCs w:val="18"/>
              </w:rPr>
            </w:pPr>
          </w:p>
          <w:p w:rsidR="00311F1B" w:rsidRPr="006F2D04" w:rsidRDefault="00A07853" w:rsidP="007D6669">
            <w:pPr>
              <w:jc w:val="center"/>
              <w:rPr>
                <w:rFonts w:cstheme="minorHAnsi"/>
                <w:sz w:val="18"/>
                <w:szCs w:val="18"/>
              </w:rPr>
            </w:pPr>
            <w:r w:rsidRPr="006F2D04">
              <w:rPr>
                <w:rFonts w:cstheme="minorHAnsi"/>
                <w:sz w:val="18"/>
                <w:szCs w:val="18"/>
              </w:rPr>
              <w:t>Supported Employment</w:t>
            </w:r>
            <w:r w:rsidR="007D6669" w:rsidRPr="006F2D04">
              <w:rPr>
                <w:rFonts w:cstheme="minorHAnsi"/>
                <w:sz w:val="18"/>
                <w:szCs w:val="18"/>
              </w:rPr>
              <w:t xml:space="preserve"> (Group)</w:t>
            </w:r>
          </w:p>
          <w:p w:rsidR="00A07853" w:rsidRPr="006F2D04" w:rsidRDefault="007D6669" w:rsidP="007D6669">
            <w:pPr>
              <w:jc w:val="center"/>
              <w:rPr>
                <w:rFonts w:cstheme="minorHAnsi"/>
                <w:sz w:val="18"/>
                <w:szCs w:val="18"/>
              </w:rPr>
            </w:pPr>
            <w:r w:rsidRPr="006F2D04">
              <w:rPr>
                <w:rFonts w:cstheme="minorHAnsi"/>
                <w:sz w:val="18"/>
                <w:szCs w:val="18"/>
              </w:rPr>
              <w:t>Integrated Setting</w:t>
            </w:r>
          </w:p>
        </w:tc>
        <w:tc>
          <w:tcPr>
            <w:tcW w:w="1193" w:type="dxa"/>
          </w:tcPr>
          <w:p w:rsidR="00A07853" w:rsidRPr="006F2D04" w:rsidRDefault="00A07853" w:rsidP="00A07853">
            <w:pPr>
              <w:jc w:val="center"/>
              <w:rPr>
                <w:rFonts w:cstheme="minorHAnsi"/>
                <w:sz w:val="18"/>
                <w:szCs w:val="18"/>
              </w:rPr>
            </w:pPr>
          </w:p>
          <w:p w:rsidR="00311F1B" w:rsidRPr="006F2D04" w:rsidRDefault="00A07853" w:rsidP="00A07853">
            <w:pPr>
              <w:jc w:val="center"/>
              <w:rPr>
                <w:rFonts w:cstheme="minorHAnsi"/>
                <w:sz w:val="18"/>
                <w:szCs w:val="18"/>
              </w:rPr>
            </w:pPr>
            <w:r w:rsidRPr="006F2D04">
              <w:rPr>
                <w:rFonts w:cstheme="minorHAnsi"/>
                <w:sz w:val="18"/>
                <w:szCs w:val="18"/>
              </w:rPr>
              <w:t>Yes</w:t>
            </w:r>
          </w:p>
        </w:tc>
        <w:tc>
          <w:tcPr>
            <w:tcW w:w="1170" w:type="dxa"/>
          </w:tcPr>
          <w:p w:rsidR="00A07853" w:rsidRPr="006F2D04" w:rsidRDefault="00A07853" w:rsidP="00A07853">
            <w:pPr>
              <w:jc w:val="center"/>
              <w:rPr>
                <w:rFonts w:cstheme="minorHAnsi"/>
                <w:sz w:val="18"/>
                <w:szCs w:val="18"/>
              </w:rPr>
            </w:pPr>
          </w:p>
          <w:p w:rsidR="007D6669" w:rsidRPr="006F2D04" w:rsidRDefault="002F0109" w:rsidP="007D6669">
            <w:pPr>
              <w:jc w:val="center"/>
              <w:rPr>
                <w:rFonts w:cstheme="minorHAnsi"/>
                <w:sz w:val="18"/>
                <w:szCs w:val="18"/>
              </w:rPr>
            </w:pPr>
            <w:r w:rsidRPr="006F2D04">
              <w:rPr>
                <w:rFonts w:cstheme="minorHAnsi"/>
                <w:sz w:val="18"/>
                <w:szCs w:val="18"/>
              </w:rPr>
              <w:t>130-150</w:t>
            </w:r>
          </w:p>
          <w:p w:rsidR="00A07853" w:rsidRPr="006F2D04" w:rsidRDefault="002F0109" w:rsidP="007D6669">
            <w:pPr>
              <w:jc w:val="center"/>
              <w:rPr>
                <w:rFonts w:cstheme="minorHAnsi"/>
                <w:sz w:val="18"/>
                <w:szCs w:val="18"/>
              </w:rPr>
            </w:pPr>
            <w:r w:rsidRPr="006F2D04">
              <w:rPr>
                <w:rFonts w:cstheme="minorHAnsi"/>
                <w:sz w:val="18"/>
                <w:szCs w:val="18"/>
              </w:rPr>
              <w:t>67</w:t>
            </w:r>
            <w:r w:rsidR="007D6669" w:rsidRPr="006F2D04">
              <w:rPr>
                <w:rFonts w:cstheme="minorHAnsi"/>
                <w:sz w:val="18"/>
                <w:szCs w:val="18"/>
              </w:rPr>
              <w:t>%</w:t>
            </w:r>
            <w:r w:rsidR="00F66AC0" w:rsidRPr="006F2D04">
              <w:rPr>
                <w:rFonts w:cstheme="minorHAnsi"/>
                <w:sz w:val="18"/>
                <w:szCs w:val="18"/>
              </w:rPr>
              <w:t>+</w:t>
            </w:r>
          </w:p>
        </w:tc>
        <w:tc>
          <w:tcPr>
            <w:tcW w:w="900" w:type="dxa"/>
          </w:tcPr>
          <w:p w:rsidR="00311F1B" w:rsidRPr="006F2D04" w:rsidRDefault="00311F1B" w:rsidP="00311F1B">
            <w:pPr>
              <w:rPr>
                <w:rFonts w:cstheme="minorHAnsi"/>
                <w:sz w:val="18"/>
                <w:szCs w:val="18"/>
              </w:rPr>
            </w:pPr>
          </w:p>
          <w:p w:rsidR="00A07853" w:rsidRPr="006F2D04" w:rsidRDefault="00A07853" w:rsidP="00311F1B">
            <w:pPr>
              <w:rPr>
                <w:rFonts w:cstheme="minorHAnsi"/>
                <w:sz w:val="18"/>
                <w:szCs w:val="18"/>
              </w:rPr>
            </w:pPr>
            <w:r w:rsidRPr="006F2D04">
              <w:rPr>
                <w:rFonts w:cstheme="minorHAnsi"/>
                <w:sz w:val="18"/>
                <w:szCs w:val="18"/>
              </w:rPr>
              <w:t xml:space="preserve">  10-40</w:t>
            </w:r>
          </w:p>
        </w:tc>
        <w:tc>
          <w:tcPr>
            <w:tcW w:w="1800" w:type="dxa"/>
          </w:tcPr>
          <w:p w:rsidR="006F2D04" w:rsidRDefault="007D6669" w:rsidP="006F2D04">
            <w:pPr>
              <w:jc w:val="center"/>
              <w:rPr>
                <w:rFonts w:cstheme="minorHAnsi"/>
                <w:sz w:val="18"/>
                <w:szCs w:val="18"/>
              </w:rPr>
            </w:pPr>
            <w:r w:rsidRPr="006F2D04">
              <w:rPr>
                <w:rFonts w:cstheme="minorHAnsi"/>
                <w:sz w:val="18"/>
                <w:szCs w:val="18"/>
              </w:rPr>
              <w:t>1</w:t>
            </w:r>
            <w:r w:rsidR="00F66AC0" w:rsidRPr="006F2D04">
              <w:rPr>
                <w:rFonts w:cstheme="minorHAnsi"/>
                <w:sz w:val="18"/>
                <w:szCs w:val="18"/>
              </w:rPr>
              <w:t xml:space="preserve">00% </w:t>
            </w:r>
            <w:r w:rsidRPr="006F2D04">
              <w:rPr>
                <w:rFonts w:cstheme="minorHAnsi"/>
                <w:sz w:val="18"/>
                <w:szCs w:val="18"/>
              </w:rPr>
              <w:t>On-Site</w:t>
            </w:r>
          </w:p>
          <w:p w:rsidR="00311F1B" w:rsidRPr="006F2D04" w:rsidRDefault="00A07853" w:rsidP="006F2D04">
            <w:pPr>
              <w:jc w:val="center"/>
              <w:rPr>
                <w:rFonts w:cstheme="minorHAnsi"/>
                <w:sz w:val="18"/>
                <w:szCs w:val="18"/>
              </w:rPr>
            </w:pPr>
            <w:r w:rsidRPr="006F2D04">
              <w:rPr>
                <w:rFonts w:cstheme="minorHAnsi"/>
                <w:sz w:val="18"/>
                <w:szCs w:val="18"/>
              </w:rPr>
              <w:t>Job Coaching</w:t>
            </w:r>
          </w:p>
        </w:tc>
      </w:tr>
      <w:tr w:rsidR="00311F1B" w:rsidTr="002F0109">
        <w:tc>
          <w:tcPr>
            <w:tcW w:w="1013" w:type="dxa"/>
          </w:tcPr>
          <w:p w:rsidR="00311F1B" w:rsidRPr="006F2D04" w:rsidRDefault="00311F1B" w:rsidP="00C44176">
            <w:pPr>
              <w:rPr>
                <w:rFonts w:cstheme="minorHAnsi"/>
                <w:sz w:val="18"/>
                <w:szCs w:val="18"/>
              </w:rPr>
            </w:pPr>
          </w:p>
          <w:p w:rsidR="00FE3EA0" w:rsidRPr="006F2D04" w:rsidRDefault="00A07853" w:rsidP="007D6669">
            <w:pPr>
              <w:jc w:val="center"/>
              <w:rPr>
                <w:rFonts w:cstheme="minorHAnsi"/>
                <w:sz w:val="18"/>
                <w:szCs w:val="18"/>
              </w:rPr>
            </w:pPr>
            <w:r w:rsidRPr="006F2D04">
              <w:rPr>
                <w:rFonts w:cstheme="minorHAnsi"/>
                <w:sz w:val="18"/>
                <w:szCs w:val="18"/>
              </w:rPr>
              <w:t>X</w:t>
            </w:r>
          </w:p>
        </w:tc>
        <w:tc>
          <w:tcPr>
            <w:tcW w:w="630" w:type="dxa"/>
          </w:tcPr>
          <w:p w:rsidR="00311F1B" w:rsidRPr="006F2D04" w:rsidRDefault="00311F1B" w:rsidP="007D6669">
            <w:pPr>
              <w:jc w:val="center"/>
              <w:rPr>
                <w:rFonts w:cstheme="minorHAnsi"/>
                <w:sz w:val="18"/>
                <w:szCs w:val="18"/>
              </w:rPr>
            </w:pPr>
          </w:p>
        </w:tc>
        <w:tc>
          <w:tcPr>
            <w:tcW w:w="3667" w:type="dxa"/>
          </w:tcPr>
          <w:p w:rsidR="00311F1B" w:rsidRPr="006F2D04" w:rsidRDefault="00311F1B" w:rsidP="00311F1B">
            <w:pPr>
              <w:rPr>
                <w:rFonts w:cstheme="minorHAnsi"/>
                <w:sz w:val="18"/>
                <w:szCs w:val="18"/>
              </w:rPr>
            </w:pPr>
          </w:p>
          <w:p w:rsidR="007D6669" w:rsidRPr="006F2D04" w:rsidRDefault="00A07853" w:rsidP="00311F1B">
            <w:pPr>
              <w:rPr>
                <w:rFonts w:cstheme="minorHAnsi"/>
                <w:sz w:val="18"/>
                <w:szCs w:val="18"/>
              </w:rPr>
            </w:pPr>
            <w:r w:rsidRPr="006F2D04">
              <w:rPr>
                <w:rFonts w:cstheme="minorHAnsi"/>
                <w:sz w:val="18"/>
                <w:szCs w:val="18"/>
              </w:rPr>
              <w:t xml:space="preserve">     Employment</w:t>
            </w:r>
            <w:r w:rsidR="007D6669" w:rsidRPr="006F2D04">
              <w:rPr>
                <w:rFonts w:cstheme="minorHAnsi"/>
                <w:sz w:val="18"/>
                <w:szCs w:val="18"/>
              </w:rPr>
              <w:t>/with Adult Day Services</w:t>
            </w:r>
            <w:r w:rsidRPr="006F2D04">
              <w:rPr>
                <w:rFonts w:cstheme="minorHAnsi"/>
                <w:sz w:val="18"/>
                <w:szCs w:val="18"/>
              </w:rPr>
              <w:t xml:space="preserve"> </w:t>
            </w:r>
            <w:r w:rsidR="007D6669" w:rsidRPr="006F2D04">
              <w:rPr>
                <w:rFonts w:cstheme="minorHAnsi"/>
                <w:sz w:val="18"/>
                <w:szCs w:val="18"/>
              </w:rPr>
              <w:t xml:space="preserve">                          </w:t>
            </w:r>
          </w:p>
          <w:p w:rsidR="00A07853" w:rsidRPr="006F2D04" w:rsidRDefault="006F2D04" w:rsidP="00311F1B">
            <w:pPr>
              <w:rPr>
                <w:rFonts w:cstheme="minorHAnsi"/>
                <w:sz w:val="18"/>
                <w:szCs w:val="18"/>
              </w:rPr>
            </w:pPr>
            <w:r>
              <w:rPr>
                <w:rFonts w:cstheme="minorHAnsi"/>
                <w:sz w:val="18"/>
                <w:szCs w:val="18"/>
              </w:rPr>
              <w:t xml:space="preserve">   </w:t>
            </w:r>
            <w:r w:rsidR="007D6669" w:rsidRPr="006F2D04">
              <w:rPr>
                <w:rFonts w:cstheme="minorHAnsi"/>
                <w:sz w:val="18"/>
                <w:szCs w:val="18"/>
              </w:rPr>
              <w:t xml:space="preserve"> </w:t>
            </w:r>
            <w:r>
              <w:rPr>
                <w:rFonts w:cstheme="minorHAnsi"/>
                <w:sz w:val="18"/>
                <w:szCs w:val="18"/>
              </w:rPr>
              <w:t>(Individual or Group)</w:t>
            </w:r>
            <w:r w:rsidR="007D6669" w:rsidRPr="006F2D04">
              <w:rPr>
                <w:rFonts w:cstheme="minorHAnsi"/>
                <w:sz w:val="18"/>
                <w:szCs w:val="18"/>
              </w:rPr>
              <w:t xml:space="preserve"> Integrated Setting</w:t>
            </w:r>
          </w:p>
        </w:tc>
        <w:tc>
          <w:tcPr>
            <w:tcW w:w="1193" w:type="dxa"/>
          </w:tcPr>
          <w:p w:rsidR="00A07853" w:rsidRPr="006F2D04" w:rsidRDefault="00A07853" w:rsidP="00A07853">
            <w:pPr>
              <w:jc w:val="center"/>
              <w:rPr>
                <w:rFonts w:cstheme="minorHAnsi"/>
                <w:sz w:val="18"/>
                <w:szCs w:val="18"/>
              </w:rPr>
            </w:pPr>
          </w:p>
          <w:p w:rsidR="00311F1B" w:rsidRPr="006F2D04" w:rsidRDefault="00A07853" w:rsidP="00A07853">
            <w:pPr>
              <w:jc w:val="center"/>
              <w:rPr>
                <w:rFonts w:cstheme="minorHAnsi"/>
                <w:sz w:val="18"/>
                <w:szCs w:val="18"/>
              </w:rPr>
            </w:pPr>
            <w:r w:rsidRPr="006F2D04">
              <w:rPr>
                <w:rFonts w:cstheme="minorHAnsi"/>
                <w:sz w:val="18"/>
                <w:szCs w:val="18"/>
              </w:rPr>
              <w:t>Yes</w:t>
            </w:r>
          </w:p>
        </w:tc>
        <w:tc>
          <w:tcPr>
            <w:tcW w:w="1170" w:type="dxa"/>
          </w:tcPr>
          <w:p w:rsidR="00F66AC0" w:rsidRPr="006F2D04" w:rsidRDefault="00F66AC0" w:rsidP="002F0109">
            <w:pPr>
              <w:rPr>
                <w:rFonts w:cstheme="minorHAnsi"/>
                <w:sz w:val="18"/>
                <w:szCs w:val="18"/>
              </w:rPr>
            </w:pPr>
          </w:p>
          <w:p w:rsidR="00F66AC0" w:rsidRPr="006F2D04" w:rsidRDefault="002F0109" w:rsidP="00F66AC0">
            <w:pPr>
              <w:jc w:val="center"/>
              <w:rPr>
                <w:rFonts w:cstheme="minorHAnsi"/>
                <w:sz w:val="18"/>
                <w:szCs w:val="18"/>
              </w:rPr>
            </w:pPr>
            <w:r w:rsidRPr="006F2D04">
              <w:rPr>
                <w:rFonts w:cstheme="minorHAnsi"/>
                <w:sz w:val="18"/>
                <w:szCs w:val="18"/>
              </w:rPr>
              <w:t>107-130</w:t>
            </w:r>
          </w:p>
          <w:p w:rsidR="00A07853" w:rsidRPr="006F2D04" w:rsidRDefault="002F0109" w:rsidP="00F66AC0">
            <w:pPr>
              <w:jc w:val="center"/>
              <w:rPr>
                <w:rFonts w:cstheme="minorHAnsi"/>
                <w:sz w:val="18"/>
                <w:szCs w:val="18"/>
              </w:rPr>
            </w:pPr>
            <w:r w:rsidRPr="006F2D04">
              <w:rPr>
                <w:rFonts w:cstheme="minorHAnsi"/>
                <w:sz w:val="18"/>
                <w:szCs w:val="18"/>
              </w:rPr>
              <w:t>57</w:t>
            </w:r>
            <w:r w:rsidR="00F66AC0" w:rsidRPr="006F2D04">
              <w:rPr>
                <w:rFonts w:cstheme="minorHAnsi"/>
                <w:sz w:val="18"/>
                <w:szCs w:val="18"/>
              </w:rPr>
              <w:t>%+</w:t>
            </w:r>
          </w:p>
        </w:tc>
        <w:tc>
          <w:tcPr>
            <w:tcW w:w="900" w:type="dxa"/>
          </w:tcPr>
          <w:p w:rsidR="00311F1B" w:rsidRPr="006F2D04" w:rsidRDefault="00311F1B" w:rsidP="00311F1B">
            <w:pPr>
              <w:rPr>
                <w:rFonts w:cstheme="minorHAnsi"/>
                <w:sz w:val="18"/>
                <w:szCs w:val="18"/>
              </w:rPr>
            </w:pPr>
          </w:p>
          <w:p w:rsidR="00A07853" w:rsidRPr="006F2D04" w:rsidRDefault="00A07853" w:rsidP="00A07853">
            <w:pPr>
              <w:rPr>
                <w:rFonts w:cstheme="minorHAnsi"/>
                <w:sz w:val="18"/>
                <w:szCs w:val="18"/>
              </w:rPr>
            </w:pPr>
            <w:r w:rsidRPr="006F2D04">
              <w:rPr>
                <w:rFonts w:cstheme="minorHAnsi"/>
                <w:sz w:val="18"/>
                <w:szCs w:val="18"/>
              </w:rPr>
              <w:t xml:space="preserve">   </w:t>
            </w:r>
            <w:r w:rsidR="00F66AC0" w:rsidRPr="006F2D04">
              <w:rPr>
                <w:rFonts w:cstheme="minorHAnsi"/>
                <w:sz w:val="18"/>
                <w:szCs w:val="18"/>
              </w:rPr>
              <w:t>5</w:t>
            </w:r>
            <w:r w:rsidRPr="006F2D04">
              <w:rPr>
                <w:rFonts w:cstheme="minorHAnsi"/>
                <w:sz w:val="18"/>
                <w:szCs w:val="18"/>
              </w:rPr>
              <w:t>-30</w:t>
            </w:r>
          </w:p>
        </w:tc>
        <w:tc>
          <w:tcPr>
            <w:tcW w:w="1800" w:type="dxa"/>
          </w:tcPr>
          <w:p w:rsidR="00F66AC0" w:rsidRPr="006F2D04" w:rsidRDefault="006F2D04" w:rsidP="006F2D04">
            <w:pPr>
              <w:rPr>
                <w:rFonts w:cstheme="minorHAnsi"/>
                <w:sz w:val="18"/>
                <w:szCs w:val="18"/>
              </w:rPr>
            </w:pPr>
            <w:r>
              <w:rPr>
                <w:rFonts w:cstheme="minorHAnsi"/>
                <w:sz w:val="18"/>
                <w:szCs w:val="18"/>
              </w:rPr>
              <w:t xml:space="preserve">  </w:t>
            </w:r>
            <w:r w:rsidR="00F66AC0" w:rsidRPr="006F2D04">
              <w:rPr>
                <w:rFonts w:cstheme="minorHAnsi"/>
                <w:sz w:val="18"/>
                <w:szCs w:val="18"/>
              </w:rPr>
              <w:t>Job Coach Support</w:t>
            </w:r>
          </w:p>
          <w:p w:rsidR="00311F1B" w:rsidRPr="006F2D04" w:rsidRDefault="00F66AC0" w:rsidP="00F66AC0">
            <w:pPr>
              <w:jc w:val="center"/>
              <w:rPr>
                <w:rFonts w:cstheme="minorHAnsi"/>
                <w:sz w:val="18"/>
                <w:szCs w:val="18"/>
              </w:rPr>
            </w:pPr>
            <w:r w:rsidRPr="006F2D04">
              <w:rPr>
                <w:rFonts w:cstheme="minorHAnsi"/>
                <w:sz w:val="18"/>
                <w:szCs w:val="18"/>
              </w:rPr>
              <w:t>100%</w:t>
            </w:r>
          </w:p>
        </w:tc>
      </w:tr>
      <w:tr w:rsidR="00311F1B" w:rsidTr="006F2D04">
        <w:trPr>
          <w:trHeight w:val="638"/>
        </w:trPr>
        <w:tc>
          <w:tcPr>
            <w:tcW w:w="1013" w:type="dxa"/>
          </w:tcPr>
          <w:p w:rsidR="00311F1B" w:rsidRPr="006F2D04" w:rsidRDefault="00311F1B" w:rsidP="007D6669">
            <w:pPr>
              <w:jc w:val="center"/>
              <w:rPr>
                <w:rFonts w:cstheme="minorHAnsi"/>
                <w:sz w:val="18"/>
                <w:szCs w:val="18"/>
              </w:rPr>
            </w:pPr>
          </w:p>
          <w:p w:rsidR="00FE3EA0" w:rsidRPr="006F2D04" w:rsidRDefault="00A07853" w:rsidP="007D6669">
            <w:pPr>
              <w:jc w:val="center"/>
              <w:rPr>
                <w:rFonts w:cstheme="minorHAnsi"/>
                <w:sz w:val="18"/>
                <w:szCs w:val="18"/>
              </w:rPr>
            </w:pPr>
            <w:r w:rsidRPr="006F2D04">
              <w:rPr>
                <w:rFonts w:cstheme="minorHAnsi"/>
                <w:sz w:val="18"/>
                <w:szCs w:val="18"/>
              </w:rPr>
              <w:t>X</w:t>
            </w:r>
          </w:p>
        </w:tc>
        <w:tc>
          <w:tcPr>
            <w:tcW w:w="630" w:type="dxa"/>
          </w:tcPr>
          <w:p w:rsidR="00311F1B" w:rsidRPr="006F2D04" w:rsidRDefault="00311F1B" w:rsidP="007D6669">
            <w:pPr>
              <w:jc w:val="center"/>
              <w:rPr>
                <w:rFonts w:cstheme="minorHAnsi"/>
                <w:sz w:val="18"/>
                <w:szCs w:val="18"/>
              </w:rPr>
            </w:pPr>
          </w:p>
        </w:tc>
        <w:tc>
          <w:tcPr>
            <w:tcW w:w="3667" w:type="dxa"/>
          </w:tcPr>
          <w:p w:rsidR="00642D21" w:rsidRPr="006F2D04" w:rsidRDefault="006F2D04" w:rsidP="006F2D04">
            <w:pPr>
              <w:rPr>
                <w:rFonts w:cstheme="minorHAnsi"/>
                <w:sz w:val="18"/>
                <w:szCs w:val="18"/>
              </w:rPr>
            </w:pPr>
            <w:r>
              <w:rPr>
                <w:rFonts w:cstheme="minorHAnsi"/>
                <w:sz w:val="18"/>
                <w:szCs w:val="18"/>
              </w:rPr>
              <w:t xml:space="preserve">            </w:t>
            </w:r>
            <w:r w:rsidR="00A07853" w:rsidRPr="006F2D04">
              <w:rPr>
                <w:rFonts w:cstheme="minorHAnsi"/>
                <w:sz w:val="18"/>
                <w:szCs w:val="18"/>
              </w:rPr>
              <w:t>Work Training/Volunteer Work</w:t>
            </w:r>
            <w:r w:rsidR="00642D21" w:rsidRPr="006F2D04">
              <w:rPr>
                <w:rFonts w:cstheme="minorHAnsi"/>
                <w:sz w:val="18"/>
                <w:szCs w:val="18"/>
              </w:rPr>
              <w:t>/</w:t>
            </w:r>
          </w:p>
          <w:p w:rsidR="00311F1B" w:rsidRPr="006F2D04" w:rsidRDefault="00642D21" w:rsidP="00C44176">
            <w:pPr>
              <w:jc w:val="center"/>
              <w:rPr>
                <w:rFonts w:cstheme="minorHAnsi"/>
                <w:sz w:val="18"/>
                <w:szCs w:val="18"/>
              </w:rPr>
            </w:pPr>
            <w:r w:rsidRPr="006F2D04">
              <w:rPr>
                <w:rFonts w:cstheme="minorHAnsi"/>
                <w:sz w:val="18"/>
                <w:szCs w:val="18"/>
              </w:rPr>
              <w:t>Adult Day Services</w:t>
            </w:r>
          </w:p>
          <w:p w:rsidR="00A07853" w:rsidRPr="006F2D04" w:rsidRDefault="007D6669" w:rsidP="00C44176">
            <w:pPr>
              <w:jc w:val="center"/>
              <w:rPr>
                <w:rFonts w:cstheme="minorHAnsi"/>
                <w:sz w:val="18"/>
                <w:szCs w:val="18"/>
              </w:rPr>
            </w:pPr>
            <w:r w:rsidRPr="006F2D04">
              <w:rPr>
                <w:rFonts w:cstheme="minorHAnsi"/>
                <w:sz w:val="18"/>
                <w:szCs w:val="18"/>
              </w:rPr>
              <w:t>Integrated Setting</w:t>
            </w:r>
          </w:p>
        </w:tc>
        <w:tc>
          <w:tcPr>
            <w:tcW w:w="1193" w:type="dxa"/>
          </w:tcPr>
          <w:p w:rsidR="00311F1B" w:rsidRPr="006F2D04" w:rsidRDefault="00311F1B" w:rsidP="00A07853">
            <w:pPr>
              <w:jc w:val="center"/>
              <w:rPr>
                <w:rFonts w:cstheme="minorHAnsi"/>
                <w:sz w:val="18"/>
                <w:szCs w:val="18"/>
              </w:rPr>
            </w:pPr>
          </w:p>
          <w:p w:rsidR="00A07853" w:rsidRPr="006F2D04" w:rsidRDefault="00027AEC" w:rsidP="00A07853">
            <w:pPr>
              <w:jc w:val="center"/>
              <w:rPr>
                <w:rFonts w:cstheme="minorHAnsi"/>
                <w:sz w:val="18"/>
                <w:szCs w:val="18"/>
              </w:rPr>
            </w:pPr>
            <w:r w:rsidRPr="006F2D04">
              <w:rPr>
                <w:rFonts w:cstheme="minorHAnsi"/>
                <w:sz w:val="18"/>
                <w:szCs w:val="18"/>
              </w:rPr>
              <w:t>No</w:t>
            </w:r>
          </w:p>
        </w:tc>
        <w:tc>
          <w:tcPr>
            <w:tcW w:w="1170" w:type="dxa"/>
          </w:tcPr>
          <w:p w:rsidR="00F66AC0" w:rsidRPr="006F2D04" w:rsidRDefault="00F66AC0" w:rsidP="00A07853">
            <w:pPr>
              <w:jc w:val="center"/>
              <w:rPr>
                <w:rFonts w:cstheme="minorHAnsi"/>
                <w:sz w:val="18"/>
                <w:szCs w:val="18"/>
              </w:rPr>
            </w:pPr>
          </w:p>
          <w:p w:rsidR="00311F1B" w:rsidRPr="006F2D04" w:rsidRDefault="002F0109" w:rsidP="002F0109">
            <w:pPr>
              <w:rPr>
                <w:rFonts w:cstheme="minorHAnsi"/>
                <w:sz w:val="18"/>
                <w:szCs w:val="18"/>
              </w:rPr>
            </w:pPr>
            <w:r w:rsidRPr="006F2D04">
              <w:rPr>
                <w:rFonts w:cstheme="minorHAnsi"/>
                <w:sz w:val="18"/>
                <w:szCs w:val="18"/>
              </w:rPr>
              <w:t>107 &amp; Below</w:t>
            </w:r>
          </w:p>
          <w:p w:rsidR="00A07853" w:rsidRPr="006F2D04" w:rsidRDefault="002F0109" w:rsidP="00A07853">
            <w:pPr>
              <w:jc w:val="center"/>
              <w:rPr>
                <w:rFonts w:cstheme="minorHAnsi"/>
                <w:sz w:val="18"/>
                <w:szCs w:val="18"/>
              </w:rPr>
            </w:pPr>
            <w:r w:rsidRPr="006F2D04">
              <w:rPr>
                <w:rFonts w:cstheme="minorHAnsi"/>
                <w:sz w:val="18"/>
                <w:szCs w:val="18"/>
              </w:rPr>
              <w:t>57</w:t>
            </w:r>
            <w:r w:rsidR="00F66AC0" w:rsidRPr="006F2D04">
              <w:rPr>
                <w:rFonts w:cstheme="minorHAnsi"/>
                <w:sz w:val="18"/>
                <w:szCs w:val="18"/>
              </w:rPr>
              <w:t>%-</w:t>
            </w:r>
          </w:p>
        </w:tc>
        <w:tc>
          <w:tcPr>
            <w:tcW w:w="900" w:type="dxa"/>
          </w:tcPr>
          <w:p w:rsidR="00311F1B" w:rsidRPr="006F2D04" w:rsidRDefault="00311F1B" w:rsidP="00311F1B">
            <w:pPr>
              <w:rPr>
                <w:rFonts w:cstheme="minorHAnsi"/>
                <w:sz w:val="18"/>
                <w:szCs w:val="18"/>
              </w:rPr>
            </w:pPr>
          </w:p>
          <w:p w:rsidR="00A07853" w:rsidRPr="006F2D04" w:rsidRDefault="00A07853" w:rsidP="00311F1B">
            <w:pPr>
              <w:rPr>
                <w:rFonts w:cstheme="minorHAnsi"/>
                <w:sz w:val="18"/>
                <w:szCs w:val="18"/>
              </w:rPr>
            </w:pPr>
            <w:r w:rsidRPr="006F2D04">
              <w:rPr>
                <w:rFonts w:cstheme="minorHAnsi"/>
                <w:sz w:val="18"/>
                <w:szCs w:val="18"/>
              </w:rPr>
              <w:t xml:space="preserve">    5-20</w:t>
            </w:r>
          </w:p>
        </w:tc>
        <w:tc>
          <w:tcPr>
            <w:tcW w:w="1800" w:type="dxa"/>
          </w:tcPr>
          <w:p w:rsidR="00311F1B" w:rsidRPr="006F2D04" w:rsidRDefault="006F2D04" w:rsidP="006F2D04">
            <w:pPr>
              <w:rPr>
                <w:rFonts w:cstheme="minorHAnsi"/>
                <w:sz w:val="18"/>
                <w:szCs w:val="18"/>
              </w:rPr>
            </w:pPr>
            <w:r>
              <w:rPr>
                <w:rFonts w:cstheme="minorHAnsi"/>
                <w:sz w:val="18"/>
                <w:szCs w:val="18"/>
              </w:rPr>
              <w:t xml:space="preserve">  </w:t>
            </w:r>
            <w:r w:rsidR="00A07853" w:rsidRPr="006F2D04">
              <w:rPr>
                <w:rFonts w:cstheme="minorHAnsi"/>
                <w:sz w:val="18"/>
                <w:szCs w:val="18"/>
              </w:rPr>
              <w:t>Job Coach Support</w:t>
            </w:r>
          </w:p>
          <w:p w:rsidR="00A07853" w:rsidRPr="006F2D04" w:rsidRDefault="00A07853" w:rsidP="00A07853">
            <w:pPr>
              <w:jc w:val="center"/>
              <w:rPr>
                <w:rFonts w:cstheme="minorHAnsi"/>
                <w:sz w:val="18"/>
                <w:szCs w:val="18"/>
              </w:rPr>
            </w:pPr>
            <w:r w:rsidRPr="006F2D04">
              <w:rPr>
                <w:rFonts w:cstheme="minorHAnsi"/>
                <w:sz w:val="18"/>
                <w:szCs w:val="18"/>
              </w:rPr>
              <w:t>100%</w:t>
            </w:r>
          </w:p>
        </w:tc>
      </w:tr>
    </w:tbl>
    <w:p w:rsidR="00C23589" w:rsidRPr="00C44176" w:rsidRDefault="00642D21" w:rsidP="00C44176">
      <w:pPr>
        <w:pStyle w:val="ListParagraph"/>
        <w:spacing w:after="0" w:line="240" w:lineRule="auto"/>
        <w:ind w:left="-90"/>
      </w:pPr>
      <w:r>
        <w:t>*</w:t>
      </w:r>
      <w:r w:rsidRPr="00C44176">
        <w:t>When possible work training/employment hours/</w:t>
      </w:r>
      <w:r w:rsidR="002F0109">
        <w:t>week should be within the 16-40-hour</w:t>
      </w:r>
      <w:r w:rsidRPr="00C44176">
        <w:t xml:space="preserve"> range.</w:t>
      </w:r>
    </w:p>
    <w:p w:rsidR="00C44176" w:rsidRPr="00C44176" w:rsidRDefault="00C44176" w:rsidP="00C44176">
      <w:pPr>
        <w:spacing w:after="0" w:line="240" w:lineRule="auto"/>
        <w:rPr>
          <w:b/>
          <w:color w:val="0000FF"/>
          <w:sz w:val="16"/>
          <w:szCs w:val="16"/>
        </w:rPr>
      </w:pPr>
    </w:p>
    <w:p w:rsidR="000E7517" w:rsidRDefault="00A07853" w:rsidP="00C44176">
      <w:pPr>
        <w:spacing w:after="0" w:line="240" w:lineRule="auto"/>
      </w:pPr>
      <w:r w:rsidRPr="00C44176">
        <w:rPr>
          <w:b/>
          <w:color w:val="0000FF"/>
        </w:rPr>
        <w:t>Note:</w:t>
      </w:r>
      <w:r w:rsidRPr="00C44176">
        <w:t xml:space="preserve">  Consider the above chart as a gene</w:t>
      </w:r>
      <w:r w:rsidR="009F5A0B">
        <w:t>ral starting point.  Each consumer</w:t>
      </w:r>
      <w:r w:rsidRPr="00C44176">
        <w:t xml:space="preserve"> has individualized strengths, needs and interests that are taken into</w:t>
      </w:r>
      <w:r w:rsidR="00EE5A11" w:rsidRPr="00C44176">
        <w:t xml:space="preserve"> a</w:t>
      </w:r>
      <w:r w:rsidR="002F0109">
        <w:t xml:space="preserve">ccount for programming. Note the overlap between the categories. </w:t>
      </w:r>
      <w:r w:rsidR="00EE5A11" w:rsidRPr="00C44176">
        <w:t>R</w:t>
      </w:r>
      <w:r w:rsidRPr="00C44176">
        <w:t>eadiness for employment is a process that may change over time and the following factors should be considered:</w:t>
      </w:r>
    </w:p>
    <w:p w:rsidR="00AC6D0E" w:rsidRPr="002731C9" w:rsidRDefault="00AC6D0E" w:rsidP="00C44176">
      <w:pPr>
        <w:spacing w:after="0" w:line="240" w:lineRule="auto"/>
      </w:pPr>
    </w:p>
    <w:tbl>
      <w:tblPr>
        <w:tblStyle w:val="TableGrid"/>
        <w:tblW w:w="0" w:type="auto"/>
        <w:tblInd w:w="468" w:type="dxa"/>
        <w:tblLook w:val="04A0" w:firstRow="1" w:lastRow="0" w:firstColumn="1" w:lastColumn="0" w:noHBand="0" w:noVBand="1"/>
      </w:tblPr>
      <w:tblGrid>
        <w:gridCol w:w="4680"/>
        <w:gridCol w:w="4320"/>
      </w:tblGrid>
      <w:tr w:rsidR="00C44176" w:rsidTr="00016948">
        <w:tc>
          <w:tcPr>
            <w:tcW w:w="4680" w:type="dxa"/>
          </w:tcPr>
          <w:p w:rsidR="00C44176" w:rsidRPr="00AC6D0E" w:rsidRDefault="002731C9" w:rsidP="00016948">
            <w:pPr>
              <w:pStyle w:val="ListParagraph"/>
              <w:numPr>
                <w:ilvl w:val="0"/>
                <w:numId w:val="1"/>
              </w:numPr>
              <w:ind w:left="270" w:hanging="270"/>
              <w:rPr>
                <w:sz w:val="18"/>
                <w:szCs w:val="18"/>
              </w:rPr>
            </w:pPr>
            <w:r w:rsidRPr="00AC6D0E">
              <w:rPr>
                <w:sz w:val="18"/>
                <w:szCs w:val="18"/>
              </w:rPr>
              <w:t>Individual</w:t>
            </w:r>
            <w:r w:rsidR="00C44176" w:rsidRPr="00AC6D0E">
              <w:rPr>
                <w:sz w:val="18"/>
                <w:szCs w:val="18"/>
              </w:rPr>
              <w:t xml:space="preserve"> desire</w:t>
            </w:r>
            <w:r w:rsidRPr="00AC6D0E">
              <w:rPr>
                <w:sz w:val="18"/>
                <w:szCs w:val="18"/>
              </w:rPr>
              <w:t>s</w:t>
            </w:r>
            <w:r w:rsidR="00C44176" w:rsidRPr="00AC6D0E">
              <w:rPr>
                <w:sz w:val="18"/>
                <w:szCs w:val="18"/>
              </w:rPr>
              <w:t xml:space="preserve"> to work</w:t>
            </w:r>
          </w:p>
        </w:tc>
        <w:tc>
          <w:tcPr>
            <w:tcW w:w="4320" w:type="dxa"/>
          </w:tcPr>
          <w:p w:rsidR="00C44176" w:rsidRPr="00AC6D0E" w:rsidRDefault="002731C9" w:rsidP="00016948">
            <w:pPr>
              <w:pStyle w:val="ListParagraph"/>
              <w:numPr>
                <w:ilvl w:val="0"/>
                <w:numId w:val="1"/>
              </w:numPr>
              <w:ind w:left="252" w:hanging="270"/>
              <w:rPr>
                <w:sz w:val="18"/>
                <w:szCs w:val="18"/>
              </w:rPr>
            </w:pPr>
            <w:r w:rsidRPr="00AC6D0E">
              <w:rPr>
                <w:sz w:val="18"/>
                <w:szCs w:val="18"/>
              </w:rPr>
              <w:t>Individual has</w:t>
            </w:r>
            <w:r w:rsidR="00C44176" w:rsidRPr="00AC6D0E">
              <w:rPr>
                <w:sz w:val="18"/>
                <w:szCs w:val="18"/>
              </w:rPr>
              <w:t xml:space="preserve"> availability to work</w:t>
            </w:r>
          </w:p>
        </w:tc>
      </w:tr>
      <w:tr w:rsidR="00C44176" w:rsidTr="00016948">
        <w:tc>
          <w:tcPr>
            <w:tcW w:w="4680" w:type="dxa"/>
          </w:tcPr>
          <w:p w:rsidR="00C44176" w:rsidRPr="00AC6D0E" w:rsidRDefault="00C44176" w:rsidP="00016948">
            <w:pPr>
              <w:pStyle w:val="ListParagraph"/>
              <w:numPr>
                <w:ilvl w:val="0"/>
                <w:numId w:val="1"/>
              </w:numPr>
              <w:ind w:left="270" w:hanging="270"/>
              <w:rPr>
                <w:sz w:val="18"/>
                <w:szCs w:val="18"/>
              </w:rPr>
            </w:pPr>
            <w:r w:rsidRPr="00AC6D0E">
              <w:rPr>
                <w:sz w:val="18"/>
                <w:szCs w:val="18"/>
              </w:rPr>
              <w:t>Prior work training experience</w:t>
            </w:r>
          </w:p>
        </w:tc>
        <w:tc>
          <w:tcPr>
            <w:tcW w:w="4320" w:type="dxa"/>
          </w:tcPr>
          <w:p w:rsidR="00C44176" w:rsidRPr="00AC6D0E" w:rsidRDefault="00C44176" w:rsidP="00016948">
            <w:pPr>
              <w:pStyle w:val="ListParagraph"/>
              <w:numPr>
                <w:ilvl w:val="0"/>
                <w:numId w:val="1"/>
              </w:numPr>
              <w:ind w:left="252" w:hanging="270"/>
              <w:rPr>
                <w:sz w:val="18"/>
                <w:szCs w:val="18"/>
              </w:rPr>
            </w:pPr>
            <w:r w:rsidRPr="00AC6D0E">
              <w:rPr>
                <w:sz w:val="18"/>
                <w:szCs w:val="18"/>
              </w:rPr>
              <w:t>Family commitment to employment</w:t>
            </w:r>
          </w:p>
        </w:tc>
      </w:tr>
      <w:tr w:rsidR="00C44176" w:rsidTr="00016948">
        <w:tc>
          <w:tcPr>
            <w:tcW w:w="4680" w:type="dxa"/>
          </w:tcPr>
          <w:p w:rsidR="00C44176" w:rsidRPr="00AC6D0E" w:rsidRDefault="00C44176" w:rsidP="00016948">
            <w:pPr>
              <w:pStyle w:val="ListParagraph"/>
              <w:numPr>
                <w:ilvl w:val="0"/>
                <w:numId w:val="1"/>
              </w:numPr>
              <w:ind w:left="270" w:hanging="270"/>
              <w:rPr>
                <w:sz w:val="18"/>
                <w:szCs w:val="18"/>
              </w:rPr>
            </w:pPr>
            <w:r w:rsidRPr="00AC6D0E">
              <w:rPr>
                <w:sz w:val="18"/>
                <w:szCs w:val="18"/>
              </w:rPr>
              <w:t>Current Health Status</w:t>
            </w:r>
          </w:p>
        </w:tc>
        <w:tc>
          <w:tcPr>
            <w:tcW w:w="4320" w:type="dxa"/>
          </w:tcPr>
          <w:p w:rsidR="00C44176" w:rsidRPr="00AC6D0E" w:rsidRDefault="00C44176" w:rsidP="00016948">
            <w:pPr>
              <w:pStyle w:val="ListParagraph"/>
              <w:numPr>
                <w:ilvl w:val="0"/>
                <w:numId w:val="1"/>
              </w:numPr>
              <w:ind w:left="252" w:hanging="270"/>
              <w:rPr>
                <w:sz w:val="18"/>
                <w:szCs w:val="18"/>
              </w:rPr>
            </w:pPr>
            <w:r w:rsidRPr="00AC6D0E">
              <w:rPr>
                <w:sz w:val="18"/>
                <w:szCs w:val="18"/>
              </w:rPr>
              <w:t>Medication Needs</w:t>
            </w:r>
          </w:p>
        </w:tc>
      </w:tr>
      <w:tr w:rsidR="00C44176" w:rsidTr="00016948">
        <w:tc>
          <w:tcPr>
            <w:tcW w:w="4680" w:type="dxa"/>
          </w:tcPr>
          <w:p w:rsidR="00C44176" w:rsidRPr="00AC6D0E" w:rsidRDefault="00C44176" w:rsidP="00016948">
            <w:pPr>
              <w:pStyle w:val="ListParagraph"/>
              <w:numPr>
                <w:ilvl w:val="0"/>
                <w:numId w:val="1"/>
              </w:numPr>
              <w:ind w:left="270" w:hanging="270"/>
              <w:rPr>
                <w:sz w:val="18"/>
                <w:szCs w:val="18"/>
              </w:rPr>
            </w:pPr>
            <w:r w:rsidRPr="00AC6D0E">
              <w:rPr>
                <w:sz w:val="18"/>
                <w:szCs w:val="18"/>
              </w:rPr>
              <w:t>Work Related Education/Certifications</w:t>
            </w:r>
          </w:p>
        </w:tc>
        <w:tc>
          <w:tcPr>
            <w:tcW w:w="4320" w:type="dxa"/>
          </w:tcPr>
          <w:p w:rsidR="00C44176" w:rsidRPr="00AC6D0E" w:rsidRDefault="002731C9" w:rsidP="00016948">
            <w:pPr>
              <w:pStyle w:val="ListParagraph"/>
              <w:numPr>
                <w:ilvl w:val="0"/>
                <w:numId w:val="1"/>
              </w:numPr>
              <w:ind w:left="252" w:hanging="270"/>
              <w:rPr>
                <w:sz w:val="18"/>
                <w:szCs w:val="18"/>
              </w:rPr>
            </w:pPr>
            <w:r w:rsidRPr="00AC6D0E">
              <w:rPr>
                <w:sz w:val="18"/>
                <w:szCs w:val="18"/>
              </w:rPr>
              <w:t>Appropriate Behavior for Workplace</w:t>
            </w:r>
          </w:p>
        </w:tc>
      </w:tr>
      <w:tr w:rsidR="00C44176" w:rsidTr="00016948">
        <w:tc>
          <w:tcPr>
            <w:tcW w:w="4680" w:type="dxa"/>
          </w:tcPr>
          <w:p w:rsidR="00C44176" w:rsidRPr="00AC6D0E" w:rsidRDefault="00C44176" w:rsidP="00016948">
            <w:pPr>
              <w:pStyle w:val="ListParagraph"/>
              <w:numPr>
                <w:ilvl w:val="0"/>
                <w:numId w:val="1"/>
              </w:numPr>
              <w:ind w:left="270" w:hanging="270"/>
              <w:rPr>
                <w:sz w:val="18"/>
                <w:szCs w:val="18"/>
              </w:rPr>
            </w:pPr>
            <w:r w:rsidRPr="00AC6D0E">
              <w:rPr>
                <w:sz w:val="18"/>
                <w:szCs w:val="18"/>
              </w:rPr>
              <w:t>Employment &amp; Training Options</w:t>
            </w:r>
          </w:p>
        </w:tc>
        <w:tc>
          <w:tcPr>
            <w:tcW w:w="4320" w:type="dxa"/>
          </w:tcPr>
          <w:p w:rsidR="00C44176" w:rsidRPr="00AC6D0E" w:rsidRDefault="00C44176" w:rsidP="00016948">
            <w:pPr>
              <w:pStyle w:val="ListParagraph"/>
              <w:numPr>
                <w:ilvl w:val="0"/>
                <w:numId w:val="1"/>
              </w:numPr>
              <w:ind w:left="252" w:hanging="270"/>
              <w:rPr>
                <w:sz w:val="18"/>
                <w:szCs w:val="18"/>
              </w:rPr>
            </w:pPr>
            <w:r w:rsidRPr="00AC6D0E">
              <w:rPr>
                <w:sz w:val="18"/>
                <w:szCs w:val="18"/>
              </w:rPr>
              <w:t>Transportation Options</w:t>
            </w:r>
          </w:p>
        </w:tc>
      </w:tr>
      <w:tr w:rsidR="00C44176" w:rsidTr="00016948">
        <w:tc>
          <w:tcPr>
            <w:tcW w:w="9000" w:type="dxa"/>
            <w:gridSpan w:val="2"/>
          </w:tcPr>
          <w:p w:rsidR="00C44176" w:rsidRPr="00AC6D0E" w:rsidRDefault="00C44176" w:rsidP="00016948">
            <w:pPr>
              <w:pStyle w:val="ListParagraph"/>
              <w:numPr>
                <w:ilvl w:val="0"/>
                <w:numId w:val="1"/>
              </w:numPr>
              <w:ind w:left="270" w:hanging="270"/>
              <w:rPr>
                <w:sz w:val="18"/>
                <w:szCs w:val="18"/>
              </w:rPr>
            </w:pPr>
            <w:r w:rsidRPr="00AC6D0E">
              <w:rPr>
                <w:sz w:val="18"/>
                <w:szCs w:val="18"/>
              </w:rPr>
              <w:t>Individuals commitment to working hours dictated by the job (evenings, weekends &amp; holidays)</w:t>
            </w:r>
          </w:p>
        </w:tc>
      </w:tr>
    </w:tbl>
    <w:p w:rsidR="008A1B8C" w:rsidRDefault="008A1B8C" w:rsidP="003323CA">
      <w:pPr>
        <w:spacing w:after="0" w:line="240" w:lineRule="auto"/>
        <w:rPr>
          <w:b/>
          <w:color w:val="0000FF"/>
        </w:rPr>
      </w:pPr>
    </w:p>
    <w:tbl>
      <w:tblPr>
        <w:tblStyle w:val="TableGrid"/>
        <w:tblW w:w="9990" w:type="dxa"/>
        <w:tblInd w:w="-275" w:type="dxa"/>
        <w:tblLayout w:type="fixed"/>
        <w:tblLook w:val="04A0" w:firstRow="1" w:lastRow="0" w:firstColumn="1" w:lastColumn="0" w:noHBand="0" w:noVBand="1"/>
      </w:tblPr>
      <w:tblGrid>
        <w:gridCol w:w="9990"/>
      </w:tblGrid>
      <w:tr w:rsidR="00465DFF" w:rsidRPr="002506FE" w:rsidTr="008B72CC">
        <w:trPr>
          <w:trHeight w:val="1250"/>
        </w:trPr>
        <w:tc>
          <w:tcPr>
            <w:tcW w:w="9990" w:type="dxa"/>
            <w:shd w:val="clear" w:color="auto" w:fill="FFFFFF" w:themeFill="background1"/>
          </w:tcPr>
          <w:p w:rsidR="00465DFF" w:rsidRPr="00380E71" w:rsidRDefault="00465DFF" w:rsidP="008B72CC">
            <w:pPr>
              <w:shd w:val="clear" w:color="auto" w:fill="FF9933"/>
              <w:ind w:left="-195" w:right="-194" w:firstLine="90"/>
              <w:jc w:val="center"/>
              <w:rPr>
                <w:b/>
                <w:color w:val="0000FF"/>
                <w:sz w:val="36"/>
                <w:szCs w:val="36"/>
              </w:rPr>
            </w:pPr>
            <w:r w:rsidRPr="00380E71">
              <w:rPr>
                <w:b/>
                <w:noProof/>
                <w:color w:val="0000FF"/>
                <w:sz w:val="36"/>
                <w:szCs w:val="36"/>
              </w:rPr>
              <w:drawing>
                <wp:anchor distT="0" distB="0" distL="114300" distR="114300" simplePos="0" relativeHeight="251669504" behindDoc="0" locked="0" layoutInCell="1" allowOverlap="1" wp14:anchorId="4B5EBDCA" wp14:editId="0CA3D424">
                  <wp:simplePos x="0" y="0"/>
                  <wp:positionH relativeFrom="column">
                    <wp:posOffset>107950</wp:posOffset>
                  </wp:positionH>
                  <wp:positionV relativeFrom="paragraph">
                    <wp:posOffset>42545</wp:posOffset>
                  </wp:positionV>
                  <wp:extent cx="765810" cy="633730"/>
                  <wp:effectExtent l="0" t="0" r="0" b="0"/>
                  <wp:wrapNone/>
                  <wp:docPr id="4" name="Picture 4" descr="C:\Users\Linda\Desktop\4C Vertical Shee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Desktop\4C Vertical Sheet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81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E71">
              <w:rPr>
                <w:noProof/>
                <w:color w:val="0000FF"/>
                <w:sz w:val="36"/>
                <w:szCs w:val="36"/>
              </w:rPr>
              <w:drawing>
                <wp:anchor distT="0" distB="0" distL="114300" distR="114300" simplePos="0" relativeHeight="251670528" behindDoc="0" locked="0" layoutInCell="1" allowOverlap="1" wp14:anchorId="040E0FD2" wp14:editId="2A819B3F">
                  <wp:simplePos x="0" y="0"/>
                  <wp:positionH relativeFrom="column">
                    <wp:posOffset>5429885</wp:posOffset>
                  </wp:positionH>
                  <wp:positionV relativeFrom="paragraph">
                    <wp:posOffset>92586</wp:posOffset>
                  </wp:positionV>
                  <wp:extent cx="610771" cy="582295"/>
                  <wp:effectExtent l="0" t="0" r="0" b="8255"/>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771" cy="582295"/>
                          </a:xfrm>
                          <a:prstGeom prst="rect">
                            <a:avLst/>
                          </a:prstGeom>
                          <a:noFill/>
                        </pic:spPr>
                      </pic:pic>
                    </a:graphicData>
                  </a:graphic>
                  <wp14:sizeRelH relativeFrom="page">
                    <wp14:pctWidth>0</wp14:pctWidth>
                  </wp14:sizeRelH>
                  <wp14:sizeRelV relativeFrom="page">
                    <wp14:pctHeight>0</wp14:pctHeight>
                  </wp14:sizeRelV>
                </wp:anchor>
              </w:drawing>
            </w:r>
            <w:r w:rsidRPr="00380E71">
              <w:rPr>
                <w:b/>
                <w:color w:val="0000FF"/>
                <w:sz w:val="36"/>
                <w:szCs w:val="36"/>
              </w:rPr>
              <w:t>ORANGE COU</w:t>
            </w:r>
            <w:r>
              <w:rPr>
                <w:b/>
                <w:color w:val="0000FF"/>
                <w:sz w:val="36"/>
                <w:szCs w:val="36"/>
              </w:rPr>
              <w:t>N</w:t>
            </w:r>
            <w:r w:rsidRPr="00380E71">
              <w:rPr>
                <w:b/>
                <w:color w:val="0000FF"/>
                <w:sz w:val="36"/>
                <w:szCs w:val="36"/>
              </w:rPr>
              <w:t>TY</w:t>
            </w:r>
          </w:p>
          <w:p w:rsidR="00465DFF" w:rsidRDefault="00465DFF" w:rsidP="008B72CC">
            <w:pPr>
              <w:shd w:val="clear" w:color="auto" w:fill="FF9933"/>
              <w:tabs>
                <w:tab w:val="left" w:pos="9705"/>
              </w:tabs>
              <w:ind w:left="-195" w:right="-104" w:firstLine="90"/>
              <w:jc w:val="center"/>
              <w:rPr>
                <w:b/>
                <w:color w:val="0000FF"/>
                <w:sz w:val="36"/>
                <w:szCs w:val="36"/>
              </w:rPr>
            </w:pPr>
            <w:r>
              <w:rPr>
                <w:b/>
                <w:sz w:val="28"/>
                <w:szCs w:val="28"/>
              </w:rPr>
              <w:t xml:space="preserve">         </w:t>
            </w:r>
            <w:r w:rsidRPr="002506FE">
              <w:rPr>
                <w:b/>
                <w:color w:val="0000FF"/>
                <w:sz w:val="36"/>
                <w:szCs w:val="36"/>
              </w:rPr>
              <w:t xml:space="preserve">EMPLOYMENT/WORK TRAINING </w:t>
            </w:r>
          </w:p>
          <w:p w:rsidR="00465DFF" w:rsidRPr="002506FE" w:rsidRDefault="00465DFF" w:rsidP="008B72CC">
            <w:pPr>
              <w:shd w:val="clear" w:color="auto" w:fill="FF9933"/>
              <w:ind w:left="-195" w:right="-194" w:firstLine="90"/>
              <w:jc w:val="center"/>
              <w:rPr>
                <w:b/>
                <w:sz w:val="36"/>
                <w:szCs w:val="36"/>
              </w:rPr>
            </w:pPr>
            <w:r>
              <w:rPr>
                <w:b/>
                <w:color w:val="0000FF"/>
                <w:sz w:val="36"/>
                <w:szCs w:val="36"/>
              </w:rPr>
              <w:t>TERMS &amp; LEGISLATION</w:t>
            </w:r>
          </w:p>
        </w:tc>
      </w:tr>
    </w:tbl>
    <w:p w:rsidR="008A1B8C" w:rsidRDefault="008A1B8C" w:rsidP="003323CA">
      <w:pPr>
        <w:spacing w:after="0" w:line="240" w:lineRule="auto"/>
        <w:rPr>
          <w:b/>
          <w:color w:val="0000FF"/>
        </w:rPr>
      </w:pPr>
    </w:p>
    <w:p w:rsidR="00197448" w:rsidRPr="00AC6D0E" w:rsidRDefault="00197448" w:rsidP="003323CA">
      <w:pPr>
        <w:spacing w:after="0" w:line="240" w:lineRule="auto"/>
        <w:rPr>
          <w:b/>
          <w:color w:val="0000FF"/>
        </w:rPr>
      </w:pPr>
      <w:r w:rsidRPr="00AC6D0E">
        <w:rPr>
          <w:b/>
          <w:color w:val="0000FF"/>
        </w:rPr>
        <w:t xml:space="preserve">Employment First Policy  </w:t>
      </w:r>
    </w:p>
    <w:p w:rsidR="00251BAF" w:rsidRPr="00AC6D0E" w:rsidRDefault="00197448" w:rsidP="003323CA">
      <w:pPr>
        <w:spacing w:after="0"/>
      </w:pPr>
      <w:r w:rsidRPr="00AC6D0E">
        <w:t xml:space="preserve">On October 9, 2013, Governor Brown signed AB 1041 (Chesbro), which establishes in statute an Employment First Policy.  California became the 12th state to enact an employment first policy in law.   </w:t>
      </w:r>
    </w:p>
    <w:p w:rsidR="00C44176" w:rsidRPr="00AC6D0E" w:rsidRDefault="00197448" w:rsidP="00C44176">
      <w:pPr>
        <w:rPr>
          <w:b/>
        </w:rPr>
      </w:pPr>
      <w:r w:rsidRPr="00AC6D0E">
        <w:rPr>
          <w:b/>
        </w:rPr>
        <w:t xml:space="preserve">Employment First Policy </w:t>
      </w:r>
      <w:r w:rsidR="00BC68FA" w:rsidRPr="00AC6D0E">
        <w:rPr>
          <w:b/>
        </w:rPr>
        <w:t>from</w:t>
      </w:r>
      <w:r w:rsidRPr="00AC6D0E">
        <w:rPr>
          <w:b/>
        </w:rPr>
        <w:t xml:space="preserve"> WIC Sect. 4869(a)(1)  </w:t>
      </w:r>
    </w:p>
    <w:p w:rsidR="00197448" w:rsidRPr="00AC6D0E" w:rsidRDefault="00197448" w:rsidP="00016948">
      <w:pPr>
        <w:rPr>
          <w:b/>
          <w:color w:val="0000FF"/>
        </w:rPr>
      </w:pPr>
      <w:r w:rsidRPr="00AC6D0E">
        <w:t xml:space="preserve">It is the policy of the state that opportunities for integrated, competitive employment shall be given the highest priority for working age individuals with developmental disabilities, regardless of the severity of their disabilities.   </w:t>
      </w:r>
    </w:p>
    <w:p w:rsidR="00197448" w:rsidRPr="00AC6D0E" w:rsidRDefault="00197448" w:rsidP="003323CA">
      <w:pPr>
        <w:spacing w:after="0" w:line="240" w:lineRule="auto"/>
        <w:rPr>
          <w:b/>
          <w:color w:val="0000FF"/>
        </w:rPr>
      </w:pPr>
      <w:r w:rsidRPr="00AC6D0E">
        <w:rPr>
          <w:b/>
          <w:color w:val="0000FF"/>
        </w:rPr>
        <w:t xml:space="preserve">The Statute Explains Why  </w:t>
      </w:r>
    </w:p>
    <w:p w:rsidR="00A07853" w:rsidRPr="00AC6D0E" w:rsidRDefault="00197448" w:rsidP="003323CA">
      <w:pPr>
        <w:spacing w:after="0" w:line="240" w:lineRule="auto"/>
      </w:pPr>
      <w:r w:rsidRPr="00AC6D0E">
        <w:t xml:space="preserve">The Employment First Policy was established “in furtherance of the purposes of this division (the Lanterman Act) to make services and supports available to enable persons with developmental disabilities to approximate </w:t>
      </w:r>
      <w:r w:rsidRPr="00AC6D0E">
        <w:lastRenderedPageBreak/>
        <w:t>the pattern of everyday living available to people without disabilities of the same age, to support the integration of persons with developmental disabilities into the mainstream life of the community, and to bring about more independent, productive, and normal lives…”  Section 4869(a)(1)</w:t>
      </w:r>
    </w:p>
    <w:p w:rsidR="000E7517" w:rsidRPr="00AC6D0E" w:rsidRDefault="003323CA" w:rsidP="000E7517">
      <w:pPr>
        <w:pStyle w:val="NormalWeb"/>
        <w:spacing w:before="0" w:beforeAutospacing="0" w:after="0" w:afterAutospacing="0"/>
        <w:rPr>
          <w:rFonts w:asciiTheme="minorHAnsi" w:hAnsiTheme="minorHAnsi"/>
          <w:b/>
          <w:sz w:val="22"/>
          <w:szCs w:val="22"/>
        </w:rPr>
      </w:pPr>
      <w:r w:rsidRPr="00AC6D0E">
        <w:rPr>
          <w:rFonts w:asciiTheme="minorHAnsi" w:hAnsiTheme="minorHAnsi"/>
          <w:sz w:val="22"/>
          <w:szCs w:val="22"/>
        </w:rPr>
        <w:t>Employment First Policy, SCDD, CECY, 1-13-14</w:t>
      </w:r>
    </w:p>
    <w:p w:rsidR="00AC6D0E" w:rsidRPr="00AC6D0E" w:rsidRDefault="00AC6D0E" w:rsidP="003323CA">
      <w:pPr>
        <w:spacing w:after="0" w:line="240" w:lineRule="auto"/>
        <w:rPr>
          <w:b/>
        </w:rPr>
      </w:pPr>
    </w:p>
    <w:p w:rsidR="00AC6D0E" w:rsidRDefault="00197448" w:rsidP="003323CA">
      <w:pPr>
        <w:spacing w:after="0" w:line="240" w:lineRule="auto"/>
        <w:rPr>
          <w:b/>
        </w:rPr>
      </w:pPr>
      <w:r w:rsidRPr="00AC6D0E">
        <w:rPr>
          <w:b/>
        </w:rPr>
        <w:t>Definitions:</w:t>
      </w:r>
      <w:r w:rsidR="00AC6D0E" w:rsidRPr="00AC6D0E">
        <w:rPr>
          <w:b/>
        </w:rPr>
        <w:t xml:space="preserve"> </w:t>
      </w:r>
    </w:p>
    <w:p w:rsidR="00465DFF" w:rsidRPr="00AC6D0E" w:rsidRDefault="00465DFF" w:rsidP="003323CA">
      <w:pPr>
        <w:spacing w:after="0" w:line="240" w:lineRule="auto"/>
        <w:rPr>
          <w:b/>
        </w:rPr>
      </w:pPr>
    </w:p>
    <w:p w:rsidR="00197448" w:rsidRPr="00AC6D0E" w:rsidRDefault="00197448" w:rsidP="003323CA">
      <w:pPr>
        <w:spacing w:after="0" w:line="240" w:lineRule="auto"/>
        <w:rPr>
          <w:b/>
        </w:rPr>
      </w:pPr>
      <w:r w:rsidRPr="00AC6D0E">
        <w:rPr>
          <w:b/>
          <w:color w:val="0000FF"/>
        </w:rPr>
        <w:t>Integrated Employment</w:t>
      </w:r>
      <w:r w:rsidRPr="00AC6D0E">
        <w:t xml:space="preserve"> occurs “in work in a setting typically found in the community in which individuals interact with individuals without disabilities other than those who are providing services to those individuals, to the same extent that individuals without disabilities in comparable positions interact with other persons.”  </w:t>
      </w:r>
    </w:p>
    <w:p w:rsidR="003323CA" w:rsidRPr="00AC6D0E" w:rsidRDefault="003323CA" w:rsidP="003323CA">
      <w:pPr>
        <w:spacing w:after="0" w:line="240" w:lineRule="auto"/>
      </w:pPr>
    </w:p>
    <w:p w:rsidR="006B44E7" w:rsidRPr="00AC6D0E" w:rsidRDefault="00197448" w:rsidP="003323CA">
      <w:pPr>
        <w:spacing w:after="0" w:line="240" w:lineRule="auto"/>
      </w:pPr>
      <w:r w:rsidRPr="00AC6D0E">
        <w:rPr>
          <w:b/>
          <w:color w:val="0000FF"/>
        </w:rPr>
        <w:t>Competitive Employment</w:t>
      </w:r>
      <w:r w:rsidRPr="00AC6D0E">
        <w:rPr>
          <w:color w:val="0000FF"/>
        </w:rPr>
        <w:t xml:space="preserve"> </w:t>
      </w:r>
      <w:r w:rsidRPr="00AC6D0E">
        <w:t xml:space="preserve">means “work in the competitive labor market that is performed on a full-time or part-time basis in an integrated setting and for which an individual is compensated at or above the minimum wage, but not less than the customary wage and level of benefits paid by the employer for the same or similar work performed by individuals who are not disabled.” </w:t>
      </w:r>
    </w:p>
    <w:p w:rsidR="00A07853" w:rsidRPr="00AC6D0E" w:rsidRDefault="00197448" w:rsidP="003323CA">
      <w:pPr>
        <w:spacing w:after="0" w:line="240" w:lineRule="auto"/>
      </w:pPr>
      <w:r w:rsidRPr="00AC6D0E">
        <w:t xml:space="preserve"> </w:t>
      </w:r>
    </w:p>
    <w:p w:rsidR="006B44E7" w:rsidRPr="00AC6D0E" w:rsidRDefault="006B44E7" w:rsidP="006B44E7">
      <w:pPr>
        <w:spacing w:after="0" w:line="240" w:lineRule="auto"/>
      </w:pPr>
      <w:r w:rsidRPr="00AC6D0E">
        <w:rPr>
          <w:b/>
          <w:color w:val="0000FF"/>
        </w:rPr>
        <w:t>Competitive Integrated Employment</w:t>
      </w:r>
      <w:r w:rsidRPr="00AC6D0E">
        <w:rPr>
          <w:color w:val="0000FF"/>
        </w:rPr>
        <w:t xml:space="preserve">, </w:t>
      </w:r>
      <w:r w:rsidRPr="00AC6D0E">
        <w:t xml:space="preserve">means work that is performed on a full-time or part-time basis (including self-employment) –  </w:t>
      </w:r>
    </w:p>
    <w:p w:rsidR="006B44E7" w:rsidRPr="00AC6D0E" w:rsidRDefault="006B44E7" w:rsidP="006B44E7">
      <w:pPr>
        <w:spacing w:after="0" w:line="240" w:lineRule="auto"/>
        <w:ind w:left="360"/>
      </w:pPr>
      <w:r w:rsidRPr="00AC6D0E">
        <w:rPr>
          <w:b/>
        </w:rPr>
        <w:t>A.</w:t>
      </w:r>
      <w:r w:rsidR="002731C9" w:rsidRPr="00AC6D0E">
        <w:t xml:space="preserve"> For which an individual: </w:t>
      </w:r>
      <w:r w:rsidRPr="00AC6D0E">
        <w:t xml:space="preserve"> Is compensated at a rate that shall be not less than the higher of the rate specified in section 6 (a)(1) of the Fair Labor Standards Act of 1938 (29 U.S.C. 206 (a)(1) or the rate specified in the applicable state or local minimum wage law; and is not less than the customary rate paid by the employer for the same or similar work performed by other employees who are not individuals with disabilities, and who are similarly situated in similar occupations by the same employer and who have similar trai</w:t>
      </w:r>
      <w:r w:rsidR="002731C9" w:rsidRPr="00AC6D0E">
        <w:t xml:space="preserve">ning, experience, and skills. </w:t>
      </w:r>
      <w:r w:rsidRPr="00AC6D0E">
        <w:t>In the case of an individual who is self-employed, yields an income that is comparable to the income received by other individuals who are not individuals with disabilities, and who are self-employed in similar occupations or on similar tasks and who have similar tra</w:t>
      </w:r>
      <w:r w:rsidR="002731C9" w:rsidRPr="00AC6D0E">
        <w:t>ining, experience, and skills.</w:t>
      </w:r>
      <w:r w:rsidRPr="00AC6D0E">
        <w:t xml:space="preserve"> Is eligible for the level of benefits provided to other employees. </w:t>
      </w:r>
    </w:p>
    <w:p w:rsidR="006B44E7" w:rsidRPr="00AC6D0E" w:rsidRDefault="006B44E7" w:rsidP="006B44E7">
      <w:pPr>
        <w:spacing w:after="0" w:line="240" w:lineRule="auto"/>
        <w:ind w:left="360"/>
      </w:pPr>
      <w:r w:rsidRPr="00AC6D0E">
        <w:rPr>
          <w:b/>
        </w:rPr>
        <w:t>B.</w:t>
      </w:r>
      <w:r w:rsidRPr="00AC6D0E">
        <w:t xml:space="preserve"> That is at a location where the employee interacts with other persons who are not individuals with disabilities (not including supervisory personnel or individuals who are providing services to such employee) to the same extent that individuals who are not individuals with disabilities and who are in comparable positions interact with other persons.  </w:t>
      </w:r>
    </w:p>
    <w:p w:rsidR="006B44E7" w:rsidRPr="00AC6D0E" w:rsidRDefault="006B44E7" w:rsidP="006B44E7">
      <w:pPr>
        <w:spacing w:after="0" w:line="240" w:lineRule="auto"/>
        <w:ind w:left="360"/>
      </w:pPr>
      <w:r w:rsidRPr="00AC6D0E">
        <w:rPr>
          <w:b/>
        </w:rPr>
        <w:t>C.</w:t>
      </w:r>
      <w:r w:rsidRPr="00AC6D0E">
        <w:t xml:space="preserve"> That, as appropriate, presents opportunities for advancement that are </w:t>
      </w:r>
      <w:proofErr w:type="gramStart"/>
      <w:r w:rsidRPr="00AC6D0E">
        <w:t>similar to</w:t>
      </w:r>
      <w:proofErr w:type="gramEnd"/>
      <w:r w:rsidRPr="00AC6D0E">
        <w:t xml:space="preserve"> those for other employees who are not individual with disabilities </w:t>
      </w:r>
      <w:r w:rsidR="002731C9" w:rsidRPr="00AC6D0E">
        <w:t>and who have similar positions.</w:t>
      </w:r>
    </w:p>
    <w:p w:rsidR="003323CA" w:rsidRPr="00AC6D0E" w:rsidRDefault="003323CA" w:rsidP="006B44E7">
      <w:pPr>
        <w:spacing w:after="0" w:line="240" w:lineRule="auto"/>
        <w:ind w:left="360"/>
      </w:pPr>
    </w:p>
    <w:p w:rsidR="00197448" w:rsidRPr="00AC6D0E" w:rsidRDefault="00197448" w:rsidP="003323CA">
      <w:pPr>
        <w:pStyle w:val="NormalWeb"/>
        <w:spacing w:before="0" w:beforeAutospacing="0" w:after="0" w:afterAutospacing="0"/>
        <w:rPr>
          <w:rFonts w:asciiTheme="minorHAnsi" w:hAnsiTheme="minorHAnsi"/>
          <w:sz w:val="22"/>
          <w:szCs w:val="22"/>
        </w:rPr>
      </w:pPr>
      <w:r w:rsidRPr="00AC6D0E">
        <w:rPr>
          <w:rFonts w:asciiTheme="minorHAnsi" w:hAnsiTheme="minorHAnsi"/>
          <w:b/>
          <w:color w:val="0000FF"/>
          <w:sz w:val="22"/>
          <w:szCs w:val="22"/>
        </w:rPr>
        <w:t>Supported Employment</w:t>
      </w:r>
      <w:r w:rsidRPr="00AC6D0E">
        <w:rPr>
          <w:rFonts w:asciiTheme="minorHAnsi" w:hAnsiTheme="minorHAnsi"/>
          <w:sz w:val="22"/>
          <w:szCs w:val="22"/>
        </w:rPr>
        <w:t>, according to 29 USCS § 705(</w:t>
      </w:r>
      <w:proofErr w:type="gramStart"/>
      <w:r w:rsidRPr="00AC6D0E">
        <w:rPr>
          <w:rFonts w:asciiTheme="minorHAnsi" w:hAnsiTheme="minorHAnsi"/>
          <w:sz w:val="22"/>
          <w:szCs w:val="22"/>
        </w:rPr>
        <w:t>35</w:t>
      </w:r>
      <w:r w:rsidR="00BC68FA" w:rsidRPr="00AC6D0E">
        <w:rPr>
          <w:rFonts w:asciiTheme="minorHAnsi" w:hAnsiTheme="minorHAnsi"/>
          <w:sz w:val="22"/>
          <w:szCs w:val="22"/>
        </w:rPr>
        <w:t>)A</w:t>
      </w:r>
      <w:proofErr w:type="gramEnd"/>
      <w:r w:rsidRPr="00AC6D0E">
        <w:rPr>
          <w:rFonts w:asciiTheme="minorHAnsi" w:hAnsiTheme="minorHAnsi"/>
          <w:sz w:val="22"/>
          <w:szCs w:val="22"/>
        </w:rPr>
        <w:t xml:space="preserve"> [Title 29. Labor; Chapter 16. Vocational Rehabilitation and Other Rehabilitation Services; General Provisions] the term "supported employment" means competitive work in integrated work settings, or employment in integrated work settings in which individuals are working toward competitive work, consistent with the strengths, resources, priorities, concerns, abilities, capabilities, interests, and informed choice of the individuals, for individuals with the most significant disabilities</w:t>
      </w:r>
    </w:p>
    <w:p w:rsidR="00197448" w:rsidRPr="00AC6D0E" w:rsidRDefault="00197448" w:rsidP="003323CA">
      <w:pPr>
        <w:pStyle w:val="NormalWeb"/>
        <w:spacing w:before="0" w:beforeAutospacing="0" w:after="0" w:afterAutospacing="0"/>
        <w:rPr>
          <w:rFonts w:asciiTheme="minorHAnsi" w:hAnsiTheme="minorHAnsi"/>
          <w:sz w:val="22"/>
          <w:szCs w:val="22"/>
        </w:rPr>
      </w:pPr>
      <w:r w:rsidRPr="00AC6D0E">
        <w:rPr>
          <w:rFonts w:asciiTheme="minorHAnsi" w:hAnsiTheme="minorHAnsi"/>
          <w:b/>
          <w:sz w:val="22"/>
          <w:szCs w:val="22"/>
        </w:rPr>
        <w:t>(i) (I)</w:t>
      </w:r>
      <w:r w:rsidRPr="00AC6D0E">
        <w:rPr>
          <w:rFonts w:asciiTheme="minorHAnsi" w:hAnsiTheme="minorHAnsi"/>
          <w:sz w:val="22"/>
          <w:szCs w:val="22"/>
        </w:rPr>
        <w:t xml:space="preserve"> for whom competitive employment has not traditionally occurred; or</w:t>
      </w:r>
    </w:p>
    <w:p w:rsidR="00197448" w:rsidRPr="00AC6D0E" w:rsidRDefault="00197448" w:rsidP="003323CA">
      <w:pPr>
        <w:pStyle w:val="NormalWeb"/>
        <w:spacing w:before="0" w:beforeAutospacing="0" w:after="0" w:afterAutospacing="0"/>
        <w:rPr>
          <w:rFonts w:asciiTheme="minorHAnsi" w:hAnsiTheme="minorHAnsi"/>
          <w:sz w:val="22"/>
          <w:szCs w:val="22"/>
        </w:rPr>
      </w:pPr>
      <w:r w:rsidRPr="00AC6D0E">
        <w:rPr>
          <w:rFonts w:asciiTheme="minorHAnsi" w:hAnsiTheme="minorHAnsi"/>
          <w:b/>
          <w:sz w:val="22"/>
          <w:szCs w:val="22"/>
        </w:rPr>
        <w:t>(II)</w:t>
      </w:r>
      <w:r w:rsidRPr="00AC6D0E">
        <w:rPr>
          <w:rFonts w:asciiTheme="minorHAnsi" w:hAnsiTheme="minorHAnsi"/>
          <w:sz w:val="22"/>
          <w:szCs w:val="22"/>
        </w:rPr>
        <w:t xml:space="preserve"> for whom competitive employment has been interrupted or intermittent </w:t>
      </w:r>
      <w:proofErr w:type="gramStart"/>
      <w:r w:rsidRPr="00AC6D0E">
        <w:rPr>
          <w:rFonts w:asciiTheme="minorHAnsi" w:hAnsiTheme="minorHAnsi"/>
          <w:sz w:val="22"/>
          <w:szCs w:val="22"/>
        </w:rPr>
        <w:t>as a result of</w:t>
      </w:r>
      <w:proofErr w:type="gramEnd"/>
      <w:r w:rsidRPr="00AC6D0E">
        <w:rPr>
          <w:rFonts w:asciiTheme="minorHAnsi" w:hAnsiTheme="minorHAnsi"/>
          <w:sz w:val="22"/>
          <w:szCs w:val="22"/>
        </w:rPr>
        <w:t xml:space="preserve"> a significant disability; and</w:t>
      </w:r>
    </w:p>
    <w:p w:rsidR="00016948" w:rsidRPr="00AC6D0E" w:rsidRDefault="00197448" w:rsidP="003323CA">
      <w:pPr>
        <w:pStyle w:val="NormalWeb"/>
        <w:spacing w:before="0" w:beforeAutospacing="0" w:after="0" w:afterAutospacing="0"/>
        <w:rPr>
          <w:rFonts w:asciiTheme="minorHAnsi" w:hAnsiTheme="minorHAnsi"/>
          <w:sz w:val="22"/>
          <w:szCs w:val="22"/>
        </w:rPr>
      </w:pPr>
      <w:r w:rsidRPr="00AC6D0E">
        <w:rPr>
          <w:rFonts w:asciiTheme="minorHAnsi" w:hAnsiTheme="minorHAnsi"/>
          <w:b/>
          <w:sz w:val="22"/>
          <w:szCs w:val="22"/>
        </w:rPr>
        <w:t>(ii)</w:t>
      </w:r>
      <w:r w:rsidRPr="00AC6D0E">
        <w:rPr>
          <w:rFonts w:asciiTheme="minorHAnsi" w:hAnsiTheme="minorHAnsi"/>
          <w:sz w:val="22"/>
          <w:szCs w:val="22"/>
        </w:rPr>
        <w:t xml:space="preserve"> who, because of the nature and severity of their disability, need intensive supported employment services for the period, and any extension, described in paragraph (</w:t>
      </w:r>
      <w:proofErr w:type="gramStart"/>
      <w:r w:rsidRPr="00AC6D0E">
        <w:rPr>
          <w:rFonts w:asciiTheme="minorHAnsi" w:hAnsiTheme="minorHAnsi"/>
          <w:sz w:val="22"/>
          <w:szCs w:val="22"/>
        </w:rPr>
        <w:t>36)(</w:t>
      </w:r>
      <w:proofErr w:type="gramEnd"/>
      <w:r w:rsidRPr="00AC6D0E">
        <w:rPr>
          <w:rFonts w:asciiTheme="minorHAnsi" w:hAnsiTheme="minorHAnsi"/>
          <w:sz w:val="22"/>
          <w:szCs w:val="22"/>
        </w:rPr>
        <w:t>C) and extended services after the transition described in paragraph (13)(C) in order to perform such work</w:t>
      </w:r>
      <w:r w:rsidR="00EE5A11" w:rsidRPr="00AC6D0E">
        <w:rPr>
          <w:rFonts w:asciiTheme="minorHAnsi" w:hAnsiTheme="minorHAnsi"/>
          <w:sz w:val="22"/>
          <w:szCs w:val="22"/>
        </w:rPr>
        <w:t>.</w:t>
      </w:r>
      <w:r w:rsidR="00753D22" w:rsidRPr="00AC6D0E">
        <w:rPr>
          <w:rFonts w:asciiTheme="minorHAnsi" w:hAnsiTheme="minorHAnsi"/>
          <w:sz w:val="22"/>
          <w:szCs w:val="22"/>
        </w:rPr>
        <w:t xml:space="preserve"> </w:t>
      </w:r>
      <w:r w:rsidR="00016948" w:rsidRPr="00AC6D0E">
        <w:rPr>
          <w:rFonts w:asciiTheme="minorHAnsi" w:hAnsiTheme="minorHAnsi"/>
          <w:sz w:val="22"/>
          <w:szCs w:val="22"/>
        </w:rPr>
        <w:t>Title IV</w:t>
      </w:r>
      <w:r w:rsidR="008157E3" w:rsidRPr="00AC6D0E">
        <w:rPr>
          <w:rFonts w:asciiTheme="minorHAnsi" w:hAnsiTheme="minorHAnsi"/>
          <w:sz w:val="22"/>
          <w:szCs w:val="22"/>
        </w:rPr>
        <w:t xml:space="preserve"> A</w:t>
      </w:r>
      <w:r w:rsidR="00016948" w:rsidRPr="00AC6D0E">
        <w:rPr>
          <w:rFonts w:asciiTheme="minorHAnsi" w:hAnsiTheme="minorHAnsi"/>
          <w:sz w:val="22"/>
          <w:szCs w:val="22"/>
        </w:rPr>
        <w:t>mendments</w:t>
      </w:r>
      <w:r w:rsidR="008157E3" w:rsidRPr="00AC6D0E">
        <w:rPr>
          <w:rFonts w:asciiTheme="minorHAnsi" w:hAnsiTheme="minorHAnsi"/>
          <w:sz w:val="22"/>
          <w:szCs w:val="22"/>
        </w:rPr>
        <w:t xml:space="preserve"> to</w:t>
      </w:r>
      <w:r w:rsidR="00016948" w:rsidRPr="00AC6D0E">
        <w:rPr>
          <w:rFonts w:asciiTheme="minorHAnsi" w:hAnsiTheme="minorHAnsi"/>
          <w:sz w:val="22"/>
          <w:szCs w:val="22"/>
        </w:rPr>
        <w:t xml:space="preserve"> the Rehabilitation Act</w:t>
      </w:r>
      <w:r w:rsidR="008157E3" w:rsidRPr="00AC6D0E">
        <w:rPr>
          <w:rFonts w:asciiTheme="minorHAnsi" w:hAnsiTheme="minorHAnsi"/>
          <w:sz w:val="22"/>
          <w:szCs w:val="22"/>
        </w:rPr>
        <w:t xml:space="preserve"> (2014), extends supported employment availability </w:t>
      </w:r>
      <w:r w:rsidR="002731C9" w:rsidRPr="00AC6D0E">
        <w:rPr>
          <w:rFonts w:asciiTheme="minorHAnsi" w:hAnsiTheme="minorHAnsi"/>
          <w:sz w:val="22"/>
          <w:szCs w:val="22"/>
        </w:rPr>
        <w:t>from</w:t>
      </w:r>
      <w:r w:rsidR="008157E3" w:rsidRPr="00AC6D0E">
        <w:rPr>
          <w:rFonts w:asciiTheme="minorHAnsi" w:hAnsiTheme="minorHAnsi"/>
          <w:sz w:val="22"/>
          <w:szCs w:val="22"/>
        </w:rPr>
        <w:t xml:space="preserve"> 18 months to 24 month</w:t>
      </w:r>
      <w:r w:rsidR="00753D22" w:rsidRPr="00AC6D0E">
        <w:rPr>
          <w:rFonts w:asciiTheme="minorHAnsi" w:hAnsiTheme="minorHAnsi"/>
          <w:sz w:val="22"/>
          <w:szCs w:val="22"/>
        </w:rPr>
        <w:t>s</w:t>
      </w:r>
      <w:r w:rsidR="008157E3" w:rsidRPr="00AC6D0E">
        <w:rPr>
          <w:rFonts w:asciiTheme="minorHAnsi" w:hAnsiTheme="minorHAnsi"/>
          <w:sz w:val="22"/>
          <w:szCs w:val="22"/>
        </w:rPr>
        <w:t>.</w:t>
      </w:r>
    </w:p>
    <w:p w:rsidR="00642D21" w:rsidRPr="00AC6D0E" w:rsidRDefault="00642D21" w:rsidP="003323CA">
      <w:pPr>
        <w:pStyle w:val="NormalWeb"/>
        <w:spacing w:before="0" w:beforeAutospacing="0" w:after="0" w:afterAutospacing="0"/>
        <w:rPr>
          <w:rFonts w:asciiTheme="minorHAnsi" w:hAnsiTheme="minorHAnsi"/>
          <w:b/>
          <w:sz w:val="22"/>
          <w:szCs w:val="22"/>
        </w:rPr>
      </w:pPr>
    </w:p>
    <w:p w:rsidR="00EA4C01" w:rsidRPr="00AC6D0E" w:rsidRDefault="00642D21" w:rsidP="003323CA">
      <w:pPr>
        <w:pStyle w:val="NormalWeb"/>
        <w:spacing w:before="0" w:beforeAutospacing="0" w:after="0" w:afterAutospacing="0"/>
        <w:rPr>
          <w:rFonts w:asciiTheme="minorHAnsi" w:hAnsiTheme="minorHAnsi"/>
          <w:b/>
          <w:sz w:val="22"/>
          <w:szCs w:val="22"/>
        </w:rPr>
      </w:pPr>
      <w:r w:rsidRPr="00AC6D0E">
        <w:rPr>
          <w:rFonts w:asciiTheme="minorHAnsi" w:hAnsiTheme="minorHAnsi"/>
          <w:b/>
          <w:color w:val="0000FF"/>
          <w:sz w:val="22"/>
          <w:szCs w:val="22"/>
        </w:rPr>
        <w:t>Adult Day Services</w:t>
      </w:r>
      <w:r w:rsidRPr="00AC6D0E">
        <w:rPr>
          <w:rFonts w:asciiTheme="minorHAnsi" w:hAnsiTheme="minorHAnsi"/>
          <w:b/>
          <w:sz w:val="22"/>
          <w:szCs w:val="22"/>
        </w:rPr>
        <w:t>,</w:t>
      </w:r>
      <w:r w:rsidR="00FD3BDC" w:rsidRPr="00AC6D0E">
        <w:rPr>
          <w:rFonts w:asciiTheme="minorHAnsi" w:hAnsiTheme="minorHAnsi"/>
          <w:b/>
          <w:sz w:val="22"/>
          <w:szCs w:val="22"/>
        </w:rPr>
        <w:t xml:space="preserve"> </w:t>
      </w:r>
      <w:r w:rsidR="003B650C" w:rsidRPr="00AC6D0E">
        <w:rPr>
          <w:rFonts w:asciiTheme="minorHAnsi" w:hAnsiTheme="minorHAnsi"/>
          <w:sz w:val="22"/>
          <w:szCs w:val="22"/>
        </w:rPr>
        <w:t>include</w:t>
      </w:r>
      <w:r w:rsidR="00FD3BDC" w:rsidRPr="00AC6D0E">
        <w:rPr>
          <w:rFonts w:asciiTheme="minorHAnsi" w:hAnsiTheme="minorHAnsi"/>
          <w:sz w:val="22"/>
          <w:szCs w:val="22"/>
        </w:rPr>
        <w:t xml:space="preserve"> Activity Centers,</w:t>
      </w:r>
      <w:r w:rsidR="003B650C" w:rsidRPr="00AC6D0E">
        <w:rPr>
          <w:rFonts w:asciiTheme="minorHAnsi" w:hAnsiTheme="minorHAnsi"/>
          <w:sz w:val="22"/>
          <w:szCs w:val="22"/>
        </w:rPr>
        <w:t xml:space="preserve"> Adult Day Health Care Programs</w:t>
      </w:r>
      <w:r w:rsidR="00FD3BDC" w:rsidRPr="00AC6D0E">
        <w:rPr>
          <w:rFonts w:asciiTheme="minorHAnsi" w:hAnsiTheme="minorHAnsi"/>
          <w:sz w:val="22"/>
          <w:szCs w:val="22"/>
        </w:rPr>
        <w:t>, Adult Day Programs, and Behavior Management Programs</w:t>
      </w:r>
      <w:r w:rsidR="003B650C" w:rsidRPr="00AC6D0E">
        <w:rPr>
          <w:rFonts w:asciiTheme="minorHAnsi" w:hAnsiTheme="minorHAnsi"/>
          <w:sz w:val="22"/>
          <w:szCs w:val="22"/>
        </w:rPr>
        <w:t>,</w:t>
      </w:r>
      <w:r w:rsidR="00FD3BDC" w:rsidRPr="00AC6D0E">
        <w:rPr>
          <w:rFonts w:asciiTheme="minorHAnsi" w:hAnsiTheme="minorHAnsi"/>
          <w:sz w:val="22"/>
          <w:szCs w:val="22"/>
        </w:rPr>
        <w:t xml:space="preserve"> as defined by CCR Title 17 § 54302. The curriculum for these programs can include training in the areas of self-advocacy, self-care, community integration, and vocational training</w:t>
      </w:r>
      <w:r w:rsidR="003B650C" w:rsidRPr="00AC6D0E">
        <w:rPr>
          <w:rFonts w:asciiTheme="minorHAnsi" w:hAnsiTheme="minorHAnsi"/>
          <w:sz w:val="22"/>
          <w:szCs w:val="22"/>
        </w:rPr>
        <w:t xml:space="preserve">. </w:t>
      </w:r>
      <w:r w:rsidR="003B650C" w:rsidRPr="00AC6D0E">
        <w:rPr>
          <w:rFonts w:asciiTheme="minorHAnsi" w:hAnsiTheme="minorHAnsi"/>
          <w:sz w:val="22"/>
          <w:szCs w:val="22"/>
        </w:rPr>
        <w:lastRenderedPageBreak/>
        <w:t>Vocational training</w:t>
      </w:r>
      <w:r w:rsidR="00FD3BDC" w:rsidRPr="00AC6D0E">
        <w:rPr>
          <w:rFonts w:asciiTheme="minorHAnsi" w:hAnsiTheme="minorHAnsi"/>
          <w:sz w:val="22"/>
          <w:szCs w:val="22"/>
        </w:rPr>
        <w:t xml:space="preserve"> may include volunteering and/or employment</w:t>
      </w:r>
      <w:r w:rsidR="003B650C" w:rsidRPr="00AC6D0E">
        <w:rPr>
          <w:rFonts w:asciiTheme="minorHAnsi" w:hAnsiTheme="minorHAnsi"/>
          <w:sz w:val="22"/>
          <w:szCs w:val="22"/>
        </w:rPr>
        <w:t xml:space="preserve"> opportunities</w:t>
      </w:r>
      <w:r w:rsidR="00FD3BDC" w:rsidRPr="00AC6D0E">
        <w:rPr>
          <w:rFonts w:asciiTheme="minorHAnsi" w:hAnsiTheme="minorHAnsi"/>
          <w:sz w:val="22"/>
          <w:szCs w:val="22"/>
        </w:rPr>
        <w:t xml:space="preserve">. Staffing ratios vary depending on the program design for each program and the individual needs of the consumer. </w:t>
      </w:r>
    </w:p>
    <w:p w:rsidR="00EE5A11" w:rsidRPr="00AC6D0E" w:rsidRDefault="00EE5A11" w:rsidP="003323CA">
      <w:pPr>
        <w:pStyle w:val="NormalWeb"/>
        <w:spacing w:before="0" w:beforeAutospacing="0" w:after="0" w:afterAutospacing="0"/>
        <w:rPr>
          <w:rFonts w:asciiTheme="minorHAnsi" w:hAnsiTheme="minorHAnsi"/>
          <w:b/>
          <w:sz w:val="22"/>
          <w:szCs w:val="22"/>
        </w:rPr>
      </w:pPr>
    </w:p>
    <w:p w:rsidR="00EE5A11" w:rsidRPr="00AC6D0E" w:rsidRDefault="00642D21" w:rsidP="003323CA">
      <w:pPr>
        <w:spacing w:after="0" w:line="240" w:lineRule="auto"/>
        <w:rPr>
          <w:rFonts w:ascii="Calibri" w:hAnsi="Calibri" w:cs="Arial"/>
        </w:rPr>
      </w:pPr>
      <w:r w:rsidRPr="00AC6D0E">
        <w:rPr>
          <w:b/>
          <w:color w:val="0000FF"/>
        </w:rPr>
        <w:t xml:space="preserve">Transition </w:t>
      </w:r>
      <w:r w:rsidR="00EE5A11" w:rsidRPr="00AC6D0E">
        <w:rPr>
          <w:b/>
          <w:color w:val="0000FF"/>
        </w:rPr>
        <w:t>Partnership Project</w:t>
      </w:r>
      <w:r w:rsidR="00EE5A11" w:rsidRPr="00AC6D0E">
        <w:rPr>
          <w:b/>
        </w:rPr>
        <w:t>,</w:t>
      </w:r>
      <w:r w:rsidR="00EE5A11" w:rsidRPr="00AC6D0E">
        <w:rPr>
          <w:rFonts w:ascii="Calibri" w:hAnsi="Calibri" w:cs="Arial"/>
        </w:rPr>
        <w:t xml:space="preserve"> builds partnerships between local education agencies and the Department of Rehabilitation (DOR) for the purposes of successfully transitioning high school students with disabilities into meaningful employment and/or post-secondary education. </w:t>
      </w:r>
    </w:p>
    <w:p w:rsidR="003323CA" w:rsidRPr="00AC6D0E" w:rsidRDefault="003323CA" w:rsidP="003323CA">
      <w:pPr>
        <w:spacing w:after="0" w:line="240" w:lineRule="auto"/>
        <w:rPr>
          <w:rFonts w:ascii="Calibri" w:hAnsi="Calibri" w:cs="Arial"/>
        </w:rPr>
      </w:pPr>
    </w:p>
    <w:p w:rsidR="00C44176" w:rsidRPr="00AC6D0E" w:rsidRDefault="003323CA" w:rsidP="00C44176">
      <w:pPr>
        <w:spacing w:after="0" w:line="240" w:lineRule="auto"/>
      </w:pPr>
      <w:r w:rsidRPr="00AC6D0E">
        <w:rPr>
          <w:rFonts w:ascii="Calibri" w:hAnsi="Calibri" w:cs="Arial"/>
          <w:b/>
          <w:color w:val="0000FF"/>
        </w:rPr>
        <w:t>Workforce Innovation &amp; Opportunities Act (WIOA)</w:t>
      </w:r>
      <w:r w:rsidR="008157E3" w:rsidRPr="00AC6D0E">
        <w:rPr>
          <w:rFonts w:ascii="Calibri" w:hAnsi="Calibri" w:cs="Arial"/>
          <w:b/>
          <w:color w:val="0000FF"/>
        </w:rPr>
        <w:t>2014</w:t>
      </w:r>
      <w:r w:rsidRPr="00AC6D0E">
        <w:rPr>
          <w:rFonts w:ascii="Calibri" w:hAnsi="Calibri" w:cs="Arial"/>
          <w:b/>
          <w:color w:val="0000FF"/>
        </w:rPr>
        <w:t>,</w:t>
      </w:r>
      <w:r w:rsidR="00C44176" w:rsidRPr="00AC6D0E">
        <w:t xml:space="preserve"> </w:t>
      </w:r>
      <w:r w:rsidR="008157E3" w:rsidRPr="00AC6D0E">
        <w:t xml:space="preserve">(PL 113-128), </w:t>
      </w:r>
      <w:r w:rsidR="00C44176" w:rsidRPr="00AC6D0E">
        <w:t>replaces the Workforce Investment Act of 1998 and amends the Rehabilitation Act of 1973,</w:t>
      </w:r>
      <w:r w:rsidR="006F2D04" w:rsidRPr="00AC6D0E">
        <w:t xml:space="preserve"> </w:t>
      </w:r>
      <w:r w:rsidR="008157E3" w:rsidRPr="00AC6D0E">
        <w:t>and</w:t>
      </w:r>
      <w:r w:rsidR="00C44176" w:rsidRPr="00AC6D0E">
        <w:t xml:space="preserve"> is designed to help job seekers access employment, education, and support services to succeed in the modern labor market. The law will also encourage workforce development programs to help match employers with skilled workers needed to compete in the</w:t>
      </w:r>
      <w:r w:rsidR="00016948" w:rsidRPr="00AC6D0E">
        <w:t xml:space="preserve"> global economy.</w:t>
      </w:r>
    </w:p>
    <w:p w:rsidR="00AC6D0E" w:rsidRDefault="006F2D04" w:rsidP="00AC6D0E">
      <w:pPr>
        <w:pStyle w:val="NormalWeb"/>
        <w:rPr>
          <w:rFonts w:asciiTheme="minorHAnsi" w:hAnsiTheme="minorHAnsi" w:cstheme="minorHAnsi"/>
          <w:sz w:val="22"/>
          <w:szCs w:val="22"/>
        </w:rPr>
      </w:pPr>
      <w:r w:rsidRPr="00AC6D0E">
        <w:rPr>
          <w:rFonts w:asciiTheme="minorHAnsi" w:hAnsiTheme="minorHAnsi" w:cstheme="minorHAnsi"/>
          <w:b/>
          <w:color w:val="0000FF"/>
          <w:sz w:val="22"/>
          <w:szCs w:val="22"/>
        </w:rPr>
        <w:t>Career Counseling &amp; Information and Referral Services (CC&amp;IR),</w:t>
      </w:r>
      <w:r w:rsidRPr="00AC6D0E">
        <w:rPr>
          <w:rFonts w:asciiTheme="minorHAnsi" w:hAnsiTheme="minorHAnsi" w:cstheme="minorHAnsi"/>
          <w:sz w:val="22"/>
          <w:szCs w:val="22"/>
        </w:rPr>
        <w:t xml:space="preserve"> Under the Rehabilitation Act of 1973, as amended by the Workforce Innovation and Opportunity Act (WIOA), the Department of Rehabilitation (DOR) gained the responsibility to provide career counseling and information and referral (CC&amp;IR) services to all individuals employed at subminimum wage who are known to DOR, effective July 22, 2016. Individuals may become known to DOR through the vocational rehabilitation process, self-referral, or referral from other entities.</w:t>
      </w:r>
      <w:r w:rsidR="00AC6D0E" w:rsidRPr="00AC6D0E">
        <w:rPr>
          <w:rFonts w:asciiTheme="minorHAnsi" w:hAnsiTheme="minorHAnsi" w:cstheme="minorHAnsi"/>
          <w:sz w:val="22"/>
          <w:szCs w:val="22"/>
        </w:rPr>
        <w:t xml:space="preserve"> </w:t>
      </w:r>
    </w:p>
    <w:p w:rsidR="008A1B8C" w:rsidRPr="008A1B8C" w:rsidRDefault="008A1B8C" w:rsidP="008A1B8C">
      <w:pPr>
        <w:spacing w:after="0" w:line="240" w:lineRule="auto"/>
        <w:outlineLvl w:val="2"/>
        <w:rPr>
          <w:rFonts w:eastAsia="Times New Roman" w:cstheme="minorHAnsi"/>
          <w:b/>
          <w:bCs/>
          <w:color w:val="0000FF"/>
        </w:rPr>
      </w:pPr>
      <w:r w:rsidRPr="008A1B8C">
        <w:rPr>
          <w:rFonts w:eastAsia="Times New Roman" w:cstheme="minorHAnsi"/>
          <w:b/>
          <w:bCs/>
          <w:color w:val="0000FF"/>
        </w:rPr>
        <w:t>Services During Subminimum Wage Employment</w:t>
      </w:r>
    </w:p>
    <w:p w:rsidR="00AC6D0E" w:rsidRPr="008A1B8C" w:rsidRDefault="00AC6D0E" w:rsidP="008A1B8C">
      <w:pPr>
        <w:pStyle w:val="NormalWeb"/>
        <w:spacing w:before="0" w:beforeAutospacing="0" w:after="0" w:afterAutospacing="0"/>
        <w:rPr>
          <w:rFonts w:asciiTheme="minorHAnsi" w:hAnsiTheme="minorHAnsi" w:cstheme="minorHAnsi"/>
          <w:sz w:val="22"/>
          <w:szCs w:val="22"/>
        </w:rPr>
      </w:pPr>
      <w:r w:rsidRPr="008A1B8C">
        <w:rPr>
          <w:rFonts w:asciiTheme="minorHAnsi" w:hAnsiTheme="minorHAnsi" w:cstheme="minorHAnsi"/>
          <w:sz w:val="22"/>
          <w:szCs w:val="22"/>
        </w:rPr>
        <w:t>Employers are restricted from continuing to employ any individual in a subminimum wage setting, regardless of age, unless the individual is:</w:t>
      </w:r>
    </w:p>
    <w:p w:rsidR="00AC6D0E" w:rsidRPr="008A1B8C" w:rsidRDefault="00AC6D0E" w:rsidP="00AC6D0E">
      <w:pPr>
        <w:pStyle w:val="NormalWeb"/>
        <w:numPr>
          <w:ilvl w:val="0"/>
          <w:numId w:val="4"/>
        </w:numPr>
        <w:rPr>
          <w:rFonts w:asciiTheme="minorHAnsi" w:hAnsiTheme="minorHAnsi" w:cstheme="minorHAnsi"/>
          <w:sz w:val="22"/>
          <w:szCs w:val="22"/>
        </w:rPr>
      </w:pPr>
      <w:r w:rsidRPr="008A1B8C">
        <w:rPr>
          <w:rFonts w:asciiTheme="minorHAnsi" w:hAnsiTheme="minorHAnsi" w:cstheme="minorHAnsi"/>
          <w:sz w:val="22"/>
          <w:szCs w:val="22"/>
        </w:rPr>
        <w:t>Provided CC&amp;IR by DOR to facilitate independent decision making and informed choice.</w:t>
      </w:r>
    </w:p>
    <w:p w:rsidR="00AC6D0E" w:rsidRPr="008A1B8C" w:rsidRDefault="00AC6D0E" w:rsidP="00AC6D0E">
      <w:pPr>
        <w:pStyle w:val="NormalWeb"/>
        <w:numPr>
          <w:ilvl w:val="0"/>
          <w:numId w:val="4"/>
        </w:numPr>
        <w:rPr>
          <w:rFonts w:asciiTheme="minorHAnsi" w:hAnsiTheme="minorHAnsi" w:cstheme="minorHAnsi"/>
          <w:sz w:val="22"/>
          <w:szCs w:val="22"/>
        </w:rPr>
      </w:pPr>
      <w:r w:rsidRPr="008A1B8C">
        <w:rPr>
          <w:rFonts w:asciiTheme="minorHAnsi" w:hAnsiTheme="minorHAnsi" w:cstheme="minorHAnsi"/>
          <w:sz w:val="22"/>
          <w:szCs w:val="22"/>
        </w:rPr>
        <w:t>Informed by the employer of self-advocacy, self-determination, and peer mentoring training opportunities available in the individual's geographic area. The training opportunities cannot be provided by an entity that holds a special wage certificate described in section 14(c) of the Fair Labor Standards Act.</w:t>
      </w:r>
    </w:p>
    <w:p w:rsidR="00AC6D0E" w:rsidRPr="008A1B8C" w:rsidRDefault="00AC6D0E" w:rsidP="00AC6D0E">
      <w:pPr>
        <w:pStyle w:val="NormalWeb"/>
        <w:rPr>
          <w:rFonts w:asciiTheme="minorHAnsi" w:hAnsiTheme="minorHAnsi" w:cstheme="minorHAnsi"/>
          <w:sz w:val="22"/>
          <w:szCs w:val="22"/>
        </w:rPr>
      </w:pPr>
      <w:r w:rsidRPr="008A1B8C">
        <w:rPr>
          <w:rFonts w:asciiTheme="minorHAnsi" w:hAnsiTheme="minorHAnsi" w:cstheme="minorHAnsi"/>
          <w:sz w:val="22"/>
          <w:szCs w:val="22"/>
        </w:rPr>
        <w:t>Employers are required to provide resource information only to their employees regarding where the employee can participate in self-advocacy, self-determination and peer-mentoring training. Employers should not provide the training.</w:t>
      </w:r>
    </w:p>
    <w:p w:rsidR="00AC6D0E" w:rsidRPr="008A1B8C" w:rsidRDefault="00AC6D0E" w:rsidP="00AC6D0E">
      <w:pPr>
        <w:pStyle w:val="NormalWeb"/>
        <w:rPr>
          <w:rFonts w:asciiTheme="minorHAnsi" w:hAnsiTheme="minorHAnsi" w:cstheme="minorHAnsi"/>
          <w:sz w:val="22"/>
          <w:szCs w:val="22"/>
        </w:rPr>
      </w:pPr>
      <w:r w:rsidRPr="008A1B8C">
        <w:rPr>
          <w:rFonts w:asciiTheme="minorHAnsi" w:hAnsiTheme="minorHAnsi" w:cstheme="minorHAnsi"/>
          <w:sz w:val="22"/>
          <w:szCs w:val="22"/>
        </w:rPr>
        <w:t>Employers with less than 15 employees may refer their employees working in subminimum wage settings to DOR for self-advocacy, self-determination, and peer mentoring training opportunities available in the individual's geographic area.</w:t>
      </w:r>
    </w:p>
    <w:p w:rsidR="00AC6D0E" w:rsidRPr="008A1B8C" w:rsidRDefault="00AC6D0E" w:rsidP="00AC6D0E">
      <w:pPr>
        <w:pStyle w:val="NormalWeb"/>
        <w:rPr>
          <w:rFonts w:asciiTheme="minorHAnsi" w:hAnsiTheme="minorHAnsi" w:cstheme="minorHAnsi"/>
          <w:sz w:val="22"/>
          <w:szCs w:val="22"/>
        </w:rPr>
      </w:pPr>
      <w:r w:rsidRPr="008A1B8C">
        <w:rPr>
          <w:rFonts w:asciiTheme="minorHAnsi" w:hAnsiTheme="minorHAnsi" w:cstheme="minorHAnsi"/>
          <w:sz w:val="22"/>
          <w:szCs w:val="22"/>
        </w:rPr>
        <w:t>Any individual hired into subminimum wage employment after July 22, 2016, must receive CC&amp;IR services once every six months the first year of employment and annually thereafter. All individuals employed at subminimum wage prior to July 22, 2016, require CC&amp;IR services once by July 22, 2017, and annually thereafter. Employers should review any documents provided by the employee indicating that such counseling has been provided. The employer is required to verify the employee's completion of these services, and review and obtain any relevant documentation from the employee.</w:t>
      </w:r>
    </w:p>
    <w:p w:rsidR="00AC6D0E" w:rsidRPr="00AC6D0E" w:rsidRDefault="00AC6D0E" w:rsidP="00AC6D0E">
      <w:pPr>
        <w:spacing w:after="0" w:line="240" w:lineRule="auto"/>
        <w:outlineLvl w:val="1"/>
        <w:rPr>
          <w:rFonts w:eastAsia="Times New Roman" w:cstheme="minorHAnsi"/>
          <w:b/>
          <w:bCs/>
          <w:color w:val="0000FF"/>
        </w:rPr>
      </w:pPr>
      <w:r w:rsidRPr="00AC6D0E">
        <w:rPr>
          <w:rFonts w:eastAsia="Times New Roman" w:cstheme="minorHAnsi"/>
          <w:b/>
          <w:bCs/>
          <w:color w:val="0000FF"/>
        </w:rPr>
        <w:t>Submi</w:t>
      </w:r>
      <w:r>
        <w:rPr>
          <w:rFonts w:eastAsia="Times New Roman" w:cstheme="minorHAnsi"/>
          <w:b/>
          <w:bCs/>
          <w:color w:val="0000FF"/>
        </w:rPr>
        <w:t>nimum Wage Limitations for Youth</w:t>
      </w:r>
    </w:p>
    <w:p w:rsidR="00AC6D0E" w:rsidRPr="00AC6D0E" w:rsidRDefault="00AC6D0E" w:rsidP="00AC6D0E">
      <w:pPr>
        <w:pStyle w:val="NormalWeb"/>
        <w:spacing w:before="0" w:beforeAutospacing="0" w:after="0" w:afterAutospacing="0"/>
        <w:rPr>
          <w:rFonts w:asciiTheme="minorHAnsi" w:hAnsiTheme="minorHAnsi" w:cstheme="minorHAnsi"/>
          <w:sz w:val="22"/>
          <w:szCs w:val="22"/>
        </w:rPr>
      </w:pPr>
      <w:r w:rsidRPr="00AC6D0E">
        <w:rPr>
          <w:rFonts w:asciiTheme="minorHAnsi" w:hAnsiTheme="minorHAnsi" w:cstheme="minorHAnsi"/>
          <w:sz w:val="22"/>
          <w:szCs w:val="22"/>
        </w:rPr>
        <w:t>Under the WIOA amendments, employers are prohibited from compensating any individual with a disability who is 24 years of age or younger at subminimum wage, unless the individual has received documentation from DOR upon completion of the following activities:</w:t>
      </w:r>
    </w:p>
    <w:p w:rsidR="00AC6D0E" w:rsidRPr="00AC6D0E" w:rsidRDefault="00AC6D0E" w:rsidP="00AC6D0E">
      <w:pPr>
        <w:pStyle w:val="NormalWeb"/>
        <w:numPr>
          <w:ilvl w:val="0"/>
          <w:numId w:val="3"/>
        </w:numPr>
        <w:rPr>
          <w:rFonts w:asciiTheme="minorHAnsi" w:hAnsiTheme="minorHAnsi" w:cstheme="minorHAnsi"/>
          <w:sz w:val="22"/>
          <w:szCs w:val="22"/>
        </w:rPr>
      </w:pPr>
      <w:r w:rsidRPr="00AC6D0E">
        <w:rPr>
          <w:rFonts w:asciiTheme="minorHAnsi" w:hAnsiTheme="minorHAnsi" w:cstheme="minorHAnsi"/>
          <w:sz w:val="22"/>
          <w:szCs w:val="22"/>
        </w:rPr>
        <w:lastRenderedPageBreak/>
        <w:t>Pre-employment transition services or transition services under the Individuals with Disabilities Education Act.</w:t>
      </w:r>
    </w:p>
    <w:p w:rsidR="00AC6D0E" w:rsidRPr="00AC6D0E" w:rsidRDefault="00AC6D0E" w:rsidP="00AC6D0E">
      <w:pPr>
        <w:pStyle w:val="NormalWeb"/>
        <w:numPr>
          <w:ilvl w:val="0"/>
          <w:numId w:val="3"/>
        </w:numPr>
        <w:rPr>
          <w:rFonts w:asciiTheme="minorHAnsi" w:hAnsiTheme="minorHAnsi" w:cstheme="minorHAnsi"/>
          <w:sz w:val="22"/>
          <w:szCs w:val="22"/>
        </w:rPr>
      </w:pPr>
      <w:r w:rsidRPr="00AC6D0E">
        <w:rPr>
          <w:rFonts w:asciiTheme="minorHAnsi" w:hAnsiTheme="minorHAnsi" w:cstheme="minorHAnsi"/>
          <w:sz w:val="22"/>
          <w:szCs w:val="22"/>
        </w:rPr>
        <w:t>Applied for vocational rehabilitation services, and the individual was determined:</w:t>
      </w:r>
    </w:p>
    <w:p w:rsidR="00AC6D0E" w:rsidRPr="00AC6D0E" w:rsidRDefault="00AC6D0E" w:rsidP="00AC6D0E">
      <w:pPr>
        <w:pStyle w:val="NormalWeb"/>
        <w:numPr>
          <w:ilvl w:val="1"/>
          <w:numId w:val="3"/>
        </w:numPr>
        <w:rPr>
          <w:rFonts w:asciiTheme="minorHAnsi" w:hAnsiTheme="minorHAnsi" w:cstheme="minorHAnsi"/>
          <w:sz w:val="22"/>
          <w:szCs w:val="22"/>
        </w:rPr>
      </w:pPr>
      <w:r w:rsidRPr="00AC6D0E">
        <w:rPr>
          <w:rFonts w:asciiTheme="minorHAnsi" w:hAnsiTheme="minorHAnsi" w:cstheme="minorHAnsi"/>
          <w:sz w:val="22"/>
          <w:szCs w:val="22"/>
        </w:rPr>
        <w:t>Ineligible for vocational rehabilitation services.</w:t>
      </w:r>
    </w:p>
    <w:p w:rsidR="00AC6D0E" w:rsidRPr="00AC6D0E" w:rsidRDefault="00AC6D0E" w:rsidP="00AC6D0E">
      <w:pPr>
        <w:pStyle w:val="NormalWeb"/>
        <w:numPr>
          <w:ilvl w:val="1"/>
          <w:numId w:val="3"/>
        </w:numPr>
        <w:rPr>
          <w:rFonts w:asciiTheme="minorHAnsi" w:hAnsiTheme="minorHAnsi" w:cstheme="minorHAnsi"/>
          <w:sz w:val="22"/>
          <w:szCs w:val="22"/>
        </w:rPr>
      </w:pPr>
      <w:r w:rsidRPr="00AC6D0E">
        <w:rPr>
          <w:rFonts w:asciiTheme="minorHAnsi" w:hAnsiTheme="minorHAnsi" w:cstheme="minorHAnsi"/>
          <w:sz w:val="22"/>
          <w:szCs w:val="22"/>
        </w:rPr>
        <w:t>Eligible for vocational rehabilitation services, has an approved Individualized Plan for Employment, and the individual was unable to achieve an employment outcome in competitive integrated employment.</w:t>
      </w:r>
    </w:p>
    <w:p w:rsidR="00016948" w:rsidRDefault="00AC6D0E" w:rsidP="00AC6D0E">
      <w:pPr>
        <w:pStyle w:val="NormalWeb"/>
        <w:numPr>
          <w:ilvl w:val="0"/>
          <w:numId w:val="3"/>
        </w:numPr>
        <w:rPr>
          <w:rFonts w:asciiTheme="minorHAnsi" w:hAnsiTheme="minorHAnsi" w:cstheme="minorHAnsi"/>
          <w:sz w:val="22"/>
          <w:szCs w:val="22"/>
        </w:rPr>
      </w:pPr>
      <w:r w:rsidRPr="00AC6D0E">
        <w:rPr>
          <w:rFonts w:asciiTheme="minorHAnsi" w:hAnsiTheme="minorHAnsi" w:cstheme="minorHAnsi"/>
          <w:sz w:val="22"/>
          <w:szCs w:val="22"/>
        </w:rPr>
        <w:t>Career counseling and information and referral services to federal and state programs to help the individual discover, experience, and attain competitive integrated employment, and the counseling and information was not for employment at subminimum wage.</w:t>
      </w:r>
    </w:p>
    <w:p w:rsidR="00AC6D0E" w:rsidRPr="00AC6D0E" w:rsidRDefault="00AC6D0E" w:rsidP="00AC6D0E">
      <w:pPr>
        <w:pStyle w:val="NormalWeb"/>
        <w:rPr>
          <w:rFonts w:asciiTheme="minorHAnsi" w:hAnsiTheme="minorHAnsi" w:cstheme="minorHAnsi"/>
          <w:sz w:val="22"/>
          <w:szCs w:val="22"/>
        </w:rPr>
      </w:pPr>
      <w:r w:rsidRPr="00AC6D0E">
        <w:rPr>
          <w:rFonts w:asciiTheme="minorHAnsi" w:hAnsiTheme="minorHAnsi" w:cstheme="minorHAnsi"/>
          <w:sz w:val="22"/>
          <w:szCs w:val="22"/>
        </w:rPr>
        <w:t>The employer must receive all documentation before the individual, 24 years of age or younger, may begin employment at subminimum wage. Individuals 24 years of age or younger employed at subminimum wage after July 22, 2016, are required to provide such documentation.</w:t>
      </w:r>
    </w:p>
    <w:p w:rsidR="003323CA" w:rsidRPr="00AC6D0E" w:rsidRDefault="002506FE" w:rsidP="00C44176">
      <w:pPr>
        <w:spacing w:after="0" w:line="240" w:lineRule="auto"/>
        <w:rPr>
          <w:rFonts w:cstheme="minorHAnsi"/>
          <w:b/>
          <w:color w:val="0000FF"/>
        </w:rPr>
      </w:pPr>
      <w:r w:rsidRPr="00AC6D0E">
        <w:rPr>
          <w:rFonts w:cstheme="minorHAnsi"/>
          <w:b/>
          <w:color w:val="0000FF"/>
        </w:rPr>
        <w:t>OC</w:t>
      </w:r>
      <w:r w:rsidR="000556F5">
        <w:rPr>
          <w:rFonts w:cstheme="minorHAnsi"/>
          <w:b/>
          <w:color w:val="0000FF"/>
        </w:rPr>
        <w:t>WBL#4</w:t>
      </w:r>
      <w:bookmarkStart w:id="0" w:name="_GoBack"/>
      <w:bookmarkEnd w:id="0"/>
      <w:r w:rsidR="008F6086" w:rsidRPr="00AC6D0E">
        <w:rPr>
          <w:rFonts w:cstheme="minorHAnsi"/>
          <w:b/>
          <w:color w:val="0000FF"/>
        </w:rPr>
        <w:t xml:space="preserve">: </w:t>
      </w:r>
      <w:r w:rsidR="00AC6D0E">
        <w:rPr>
          <w:rFonts w:cstheme="minorHAnsi"/>
          <w:b/>
          <w:color w:val="0000FF"/>
        </w:rPr>
        <w:t>11-14-16</w:t>
      </w:r>
      <w:r w:rsidR="00487B3C" w:rsidRPr="00AC6D0E">
        <w:rPr>
          <w:rFonts w:cstheme="minorHAnsi"/>
          <w:b/>
          <w:color w:val="0000FF"/>
        </w:rPr>
        <w:t xml:space="preserve">  </w:t>
      </w:r>
    </w:p>
    <w:sectPr w:rsidR="003323CA" w:rsidRPr="00AC6D0E" w:rsidSect="00AC6D0E">
      <w:headerReference w:type="even" r:id="rId10"/>
      <w:headerReference w:type="default" r:id="rId11"/>
      <w:footerReference w:type="even" r:id="rId12"/>
      <w:footerReference w:type="default" r:id="rId13"/>
      <w:headerReference w:type="first" r:id="rId14"/>
      <w:footerReference w:type="first" r:id="rId15"/>
      <w:pgSz w:w="12240" w:h="15840"/>
      <w:pgMar w:top="0" w:right="806"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8B" w:rsidRDefault="0013058B" w:rsidP="005D2B76">
      <w:pPr>
        <w:spacing w:after="0" w:line="240" w:lineRule="auto"/>
      </w:pPr>
      <w:r>
        <w:separator/>
      </w:r>
    </w:p>
  </w:endnote>
  <w:endnote w:type="continuationSeparator" w:id="0">
    <w:p w:rsidR="0013058B" w:rsidRDefault="0013058B" w:rsidP="005D2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DC" w:rsidRDefault="00FD3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DC" w:rsidRDefault="00FD3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DC" w:rsidRDefault="00FD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8B" w:rsidRDefault="0013058B" w:rsidP="005D2B76">
      <w:pPr>
        <w:spacing w:after="0" w:line="240" w:lineRule="auto"/>
      </w:pPr>
      <w:r>
        <w:separator/>
      </w:r>
    </w:p>
  </w:footnote>
  <w:footnote w:type="continuationSeparator" w:id="0">
    <w:p w:rsidR="0013058B" w:rsidRDefault="0013058B" w:rsidP="005D2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DC" w:rsidRDefault="00FD3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DC" w:rsidRDefault="00FD3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DC" w:rsidRDefault="00FD3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803"/>
    <w:multiLevelType w:val="multilevel"/>
    <w:tmpl w:val="1688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60692"/>
    <w:multiLevelType w:val="hybridMultilevel"/>
    <w:tmpl w:val="433490CC"/>
    <w:lvl w:ilvl="0" w:tplc="C1B6EC14">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956C9"/>
    <w:multiLevelType w:val="multilevel"/>
    <w:tmpl w:val="6E8A3D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217D5C"/>
    <w:multiLevelType w:val="hybridMultilevel"/>
    <w:tmpl w:val="6174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1B"/>
    <w:rsid w:val="00016948"/>
    <w:rsid w:val="00027AEC"/>
    <w:rsid w:val="000556F5"/>
    <w:rsid w:val="00071736"/>
    <w:rsid w:val="000811BE"/>
    <w:rsid w:val="000D0ACE"/>
    <w:rsid w:val="000E5532"/>
    <w:rsid w:val="000E6CD8"/>
    <w:rsid w:val="000E7517"/>
    <w:rsid w:val="0013058B"/>
    <w:rsid w:val="00144E24"/>
    <w:rsid w:val="00197448"/>
    <w:rsid w:val="001D0AC6"/>
    <w:rsid w:val="001D309E"/>
    <w:rsid w:val="001E643A"/>
    <w:rsid w:val="0022599B"/>
    <w:rsid w:val="002506FE"/>
    <w:rsid w:val="00251BAF"/>
    <w:rsid w:val="002731C9"/>
    <w:rsid w:val="002F0109"/>
    <w:rsid w:val="00311F1B"/>
    <w:rsid w:val="00324AC8"/>
    <w:rsid w:val="003323CA"/>
    <w:rsid w:val="0034076C"/>
    <w:rsid w:val="003416CA"/>
    <w:rsid w:val="00350B65"/>
    <w:rsid w:val="003B650C"/>
    <w:rsid w:val="00424B44"/>
    <w:rsid w:val="00443E3B"/>
    <w:rsid w:val="00465DFF"/>
    <w:rsid w:val="00471DC2"/>
    <w:rsid w:val="004761D4"/>
    <w:rsid w:val="00487B3C"/>
    <w:rsid w:val="005507B2"/>
    <w:rsid w:val="005D2B76"/>
    <w:rsid w:val="005E689E"/>
    <w:rsid w:val="00603D07"/>
    <w:rsid w:val="00620D67"/>
    <w:rsid w:val="00642D21"/>
    <w:rsid w:val="00651442"/>
    <w:rsid w:val="006B44E7"/>
    <w:rsid w:val="006D169D"/>
    <w:rsid w:val="006F2D04"/>
    <w:rsid w:val="00753D22"/>
    <w:rsid w:val="00790541"/>
    <w:rsid w:val="00792701"/>
    <w:rsid w:val="00795EF1"/>
    <w:rsid w:val="007D6669"/>
    <w:rsid w:val="008157E3"/>
    <w:rsid w:val="00833E4E"/>
    <w:rsid w:val="008A1B8C"/>
    <w:rsid w:val="008F6086"/>
    <w:rsid w:val="0092124A"/>
    <w:rsid w:val="00982EAC"/>
    <w:rsid w:val="009F5A0B"/>
    <w:rsid w:val="00A07853"/>
    <w:rsid w:val="00A3472D"/>
    <w:rsid w:val="00A47F33"/>
    <w:rsid w:val="00AA2BFD"/>
    <w:rsid w:val="00AC6D0E"/>
    <w:rsid w:val="00B4512D"/>
    <w:rsid w:val="00BC68FA"/>
    <w:rsid w:val="00C23589"/>
    <w:rsid w:val="00C44176"/>
    <w:rsid w:val="00CB5638"/>
    <w:rsid w:val="00D71FA8"/>
    <w:rsid w:val="00DD1F80"/>
    <w:rsid w:val="00E112A8"/>
    <w:rsid w:val="00EA4C01"/>
    <w:rsid w:val="00EB0E2A"/>
    <w:rsid w:val="00EE5A11"/>
    <w:rsid w:val="00F66AC0"/>
    <w:rsid w:val="00FD3BDC"/>
    <w:rsid w:val="00FD4354"/>
    <w:rsid w:val="00FE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6994A"/>
  <w15:docId w15:val="{1FB532EF-CE33-4C39-8CB4-E094DF7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853"/>
    <w:pPr>
      <w:ind w:left="720"/>
      <w:contextualSpacing/>
    </w:pPr>
  </w:style>
  <w:style w:type="paragraph" w:styleId="Header">
    <w:name w:val="header"/>
    <w:basedOn w:val="Normal"/>
    <w:link w:val="HeaderChar"/>
    <w:uiPriority w:val="99"/>
    <w:unhideWhenUsed/>
    <w:rsid w:val="005D2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B76"/>
  </w:style>
  <w:style w:type="paragraph" w:styleId="Footer">
    <w:name w:val="footer"/>
    <w:basedOn w:val="Normal"/>
    <w:link w:val="FooterChar"/>
    <w:uiPriority w:val="99"/>
    <w:unhideWhenUsed/>
    <w:rsid w:val="005D2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B76"/>
  </w:style>
  <w:style w:type="paragraph" w:styleId="NormalWeb">
    <w:name w:val="Normal (Web)"/>
    <w:basedOn w:val="Normal"/>
    <w:uiPriority w:val="99"/>
    <w:unhideWhenUsed/>
    <w:rsid w:val="001974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22184">
      <w:bodyDiv w:val="1"/>
      <w:marLeft w:val="0"/>
      <w:marRight w:val="0"/>
      <w:marTop w:val="0"/>
      <w:marBottom w:val="0"/>
      <w:divBdr>
        <w:top w:val="none" w:sz="0" w:space="0" w:color="auto"/>
        <w:left w:val="none" w:sz="0" w:space="0" w:color="auto"/>
        <w:bottom w:val="none" w:sz="0" w:space="0" w:color="auto"/>
        <w:right w:val="none" w:sz="0" w:space="0" w:color="auto"/>
      </w:divBdr>
    </w:div>
    <w:div w:id="1020667242">
      <w:bodyDiv w:val="1"/>
      <w:marLeft w:val="0"/>
      <w:marRight w:val="0"/>
      <w:marTop w:val="0"/>
      <w:marBottom w:val="0"/>
      <w:divBdr>
        <w:top w:val="none" w:sz="0" w:space="0" w:color="auto"/>
        <w:left w:val="none" w:sz="0" w:space="0" w:color="auto"/>
        <w:bottom w:val="none" w:sz="0" w:space="0" w:color="auto"/>
        <w:right w:val="none" w:sz="0" w:space="0" w:color="auto"/>
      </w:divBdr>
    </w:div>
    <w:div w:id="1071807714">
      <w:bodyDiv w:val="1"/>
      <w:marLeft w:val="0"/>
      <w:marRight w:val="0"/>
      <w:marTop w:val="0"/>
      <w:marBottom w:val="0"/>
      <w:divBdr>
        <w:top w:val="none" w:sz="0" w:space="0" w:color="auto"/>
        <w:left w:val="none" w:sz="0" w:space="0" w:color="auto"/>
        <w:bottom w:val="none" w:sz="0" w:space="0" w:color="auto"/>
        <w:right w:val="none" w:sz="0" w:space="0" w:color="auto"/>
      </w:divBdr>
    </w:div>
    <w:div w:id="1673558898">
      <w:bodyDiv w:val="1"/>
      <w:marLeft w:val="0"/>
      <w:marRight w:val="0"/>
      <w:marTop w:val="0"/>
      <w:marBottom w:val="0"/>
      <w:divBdr>
        <w:top w:val="none" w:sz="0" w:space="0" w:color="auto"/>
        <w:left w:val="none" w:sz="0" w:space="0" w:color="auto"/>
        <w:bottom w:val="none" w:sz="0" w:space="0" w:color="auto"/>
        <w:right w:val="none" w:sz="0" w:space="0" w:color="auto"/>
      </w:divBdr>
    </w:div>
    <w:div w:id="1715692612">
      <w:bodyDiv w:val="1"/>
      <w:marLeft w:val="0"/>
      <w:marRight w:val="0"/>
      <w:marTop w:val="0"/>
      <w:marBottom w:val="0"/>
      <w:divBdr>
        <w:top w:val="none" w:sz="0" w:space="0" w:color="auto"/>
        <w:left w:val="none" w:sz="0" w:space="0" w:color="auto"/>
        <w:bottom w:val="none" w:sz="0" w:space="0" w:color="auto"/>
        <w:right w:val="none" w:sz="0" w:space="0" w:color="auto"/>
      </w:divBdr>
    </w:div>
    <w:div w:id="185761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E951A-132D-4881-A515-C4A34AFC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Regional Center of Orange County</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ONeal</dc:creator>
  <cp:lastModifiedBy>Linda ONeal</cp:lastModifiedBy>
  <cp:revision>2</cp:revision>
  <cp:lastPrinted>2015-07-30T16:41:00Z</cp:lastPrinted>
  <dcterms:created xsi:type="dcterms:W3CDTF">2016-11-14T00:28:00Z</dcterms:created>
  <dcterms:modified xsi:type="dcterms:W3CDTF">2016-11-14T00:28:00Z</dcterms:modified>
</cp:coreProperties>
</file>